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DB" w:rsidRPr="00B5286A" w:rsidRDefault="0091517D">
      <w:pPr>
        <w:rPr>
          <w:b/>
          <w:sz w:val="28"/>
        </w:rPr>
      </w:pPr>
      <w:r w:rsidRPr="00B5286A">
        <w:rPr>
          <w:b/>
          <w:sz w:val="28"/>
        </w:rPr>
        <w:t>Minnesota Coordinated Entry System</w:t>
      </w:r>
    </w:p>
    <w:p w:rsidR="0091517D" w:rsidRPr="00B5286A" w:rsidRDefault="0091517D">
      <w:pPr>
        <w:rPr>
          <w:b/>
          <w:sz w:val="28"/>
        </w:rPr>
      </w:pPr>
      <w:r w:rsidRPr="00B5286A">
        <w:rPr>
          <w:b/>
          <w:sz w:val="28"/>
        </w:rPr>
        <w:t>Policies and Procedures</w:t>
      </w:r>
    </w:p>
    <w:p w:rsidR="0091517D" w:rsidRPr="00B5286A" w:rsidRDefault="00952993">
      <w:r w:rsidRPr="00B5286A">
        <w:t xml:space="preserve">As of </w:t>
      </w:r>
      <w:r w:rsidR="0086136A" w:rsidRPr="00B5286A">
        <w:t xml:space="preserve">July </w:t>
      </w:r>
      <w:r w:rsidR="00B5286A" w:rsidRPr="00B5286A">
        <w:t>2</w:t>
      </w:r>
      <w:r w:rsidR="0086136A" w:rsidRPr="00B5286A">
        <w:t>3</w:t>
      </w:r>
      <w:r w:rsidR="00316897" w:rsidRPr="00B5286A">
        <w:t>,</w:t>
      </w:r>
      <w:r w:rsidR="0091517D" w:rsidRPr="00B5286A">
        <w:t xml:space="preserve"> 2015</w:t>
      </w:r>
    </w:p>
    <w:p w:rsidR="008D5B30" w:rsidRPr="00B5286A" w:rsidRDefault="008D5B30"/>
    <w:p w:rsidR="008D5B30" w:rsidRPr="00B5286A" w:rsidRDefault="008D5B30">
      <w:pPr>
        <w:rPr>
          <w:b/>
          <w:color w:val="1F497D" w:themeColor="text2"/>
        </w:rPr>
      </w:pPr>
      <w:r w:rsidRPr="00B5286A">
        <w:rPr>
          <w:b/>
          <w:color w:val="1F497D" w:themeColor="text2"/>
        </w:rPr>
        <w:t>Participation Requirements</w:t>
      </w:r>
    </w:p>
    <w:p w:rsidR="008D5B30" w:rsidRPr="00B5286A" w:rsidRDefault="008D5B30" w:rsidP="008D5B30">
      <w:r w:rsidRPr="00B5286A">
        <w:t xml:space="preserve">HUD and VA have recently established guidance that instructs all </w:t>
      </w:r>
      <w:proofErr w:type="spellStart"/>
      <w:r w:rsidRPr="00B5286A">
        <w:t>CoC</w:t>
      </w:r>
      <w:proofErr w:type="spellEnd"/>
      <w:r w:rsidRPr="00B5286A">
        <w:t xml:space="preserve"> projects to participate in their </w:t>
      </w:r>
      <w:proofErr w:type="spellStart"/>
      <w:r w:rsidRPr="00B5286A">
        <w:t>CoC’s</w:t>
      </w:r>
      <w:proofErr w:type="spellEnd"/>
      <w:r w:rsidRPr="00B5286A">
        <w:t xml:space="preserve"> Coordinated Assessment system.  Any project that receives HUD funding (</w:t>
      </w:r>
      <w:proofErr w:type="spellStart"/>
      <w:r w:rsidRPr="00B5286A">
        <w:t>CoC</w:t>
      </w:r>
      <w:proofErr w:type="spellEnd"/>
      <w:r w:rsidRPr="00B5286A">
        <w:t xml:space="preserve"> Program, ESG, </w:t>
      </w:r>
      <w:proofErr w:type="gramStart"/>
      <w:r w:rsidRPr="00B5286A">
        <w:t>HOPWA</w:t>
      </w:r>
      <w:proofErr w:type="gramEnd"/>
      <w:r w:rsidRPr="00B5286A">
        <w:t xml:space="preserve">) or VA funding (SSVF, GPD, VASH) must comply with the participation requirements as established by the corresponding </w:t>
      </w:r>
      <w:proofErr w:type="spellStart"/>
      <w:r w:rsidRPr="00B5286A">
        <w:t>CoC</w:t>
      </w:r>
      <w:proofErr w:type="spellEnd"/>
      <w:r w:rsidRPr="00B5286A">
        <w:t xml:space="preserve"> jurisdiction.  The State of Minnesota is in the process of establishing minimum statewide requirements for Coordinated Assessment participation for all state </w:t>
      </w:r>
      <w:proofErr w:type="gramStart"/>
      <w:r w:rsidRPr="00B5286A">
        <w:t>funded</w:t>
      </w:r>
      <w:proofErr w:type="gramEnd"/>
      <w:r w:rsidRPr="00B5286A">
        <w:t xml:space="preserve"> homeless projects.  While official guidance from the State is not likely until later in 2015, at a minimum Coordinated Assessment participation will include the following for all </w:t>
      </w:r>
      <w:proofErr w:type="spellStart"/>
      <w:r w:rsidRPr="00B5286A">
        <w:t>CoCs</w:t>
      </w:r>
      <w:proofErr w:type="spellEnd"/>
      <w:r w:rsidRPr="00B5286A">
        <w:t xml:space="preserve"> in Minnesota:</w:t>
      </w:r>
    </w:p>
    <w:p w:rsidR="008D5B30" w:rsidRPr="00B5286A" w:rsidRDefault="008D5B30" w:rsidP="008D5B30">
      <w:pPr>
        <w:pStyle w:val="ListParagraph"/>
        <w:numPr>
          <w:ilvl w:val="0"/>
          <w:numId w:val="12"/>
        </w:numPr>
        <w:rPr>
          <w:rFonts w:asciiTheme="minorHAnsi" w:hAnsiTheme="minorHAnsi"/>
        </w:rPr>
      </w:pPr>
      <w:proofErr w:type="spellStart"/>
      <w:r w:rsidRPr="00B5286A">
        <w:rPr>
          <w:rFonts w:asciiTheme="minorHAnsi" w:hAnsiTheme="minorHAnsi"/>
        </w:rPr>
        <w:t>CoC</w:t>
      </w:r>
      <w:proofErr w:type="spellEnd"/>
      <w:r w:rsidRPr="00B5286A">
        <w:rPr>
          <w:rFonts w:asciiTheme="minorHAnsi" w:hAnsiTheme="minorHAnsi"/>
        </w:rPr>
        <w:t xml:space="preserve"> projects must publish written standards for client eligibility and enrollment determination</w:t>
      </w:r>
    </w:p>
    <w:p w:rsidR="008D5B30" w:rsidRPr="00B5286A" w:rsidRDefault="008D5B30" w:rsidP="008D5B30">
      <w:pPr>
        <w:pStyle w:val="ListParagraph"/>
        <w:numPr>
          <w:ilvl w:val="0"/>
          <w:numId w:val="12"/>
        </w:numPr>
        <w:rPr>
          <w:rFonts w:asciiTheme="minorHAnsi" w:hAnsiTheme="minorHAnsi"/>
        </w:rPr>
      </w:pPr>
      <w:proofErr w:type="spellStart"/>
      <w:r w:rsidRPr="00B5286A">
        <w:rPr>
          <w:rFonts w:asciiTheme="minorHAnsi" w:hAnsiTheme="minorHAnsi"/>
        </w:rPr>
        <w:t>CoC</w:t>
      </w:r>
      <w:proofErr w:type="spellEnd"/>
      <w:r w:rsidRPr="00B5286A">
        <w:rPr>
          <w:rFonts w:asciiTheme="minorHAnsi" w:hAnsiTheme="minorHAnsi"/>
        </w:rPr>
        <w:t xml:space="preserve"> projects must communicate project vacancies (bed and/or unit) to the Coordinated Assessment administrative entity established by </w:t>
      </w:r>
      <w:proofErr w:type="spellStart"/>
      <w:r w:rsidRPr="00B5286A">
        <w:rPr>
          <w:rFonts w:asciiTheme="minorHAnsi" w:hAnsiTheme="minorHAnsi"/>
        </w:rPr>
        <w:t>CoC</w:t>
      </w:r>
      <w:proofErr w:type="spellEnd"/>
      <w:r w:rsidRPr="00B5286A">
        <w:rPr>
          <w:rFonts w:asciiTheme="minorHAnsi" w:hAnsiTheme="minorHAnsi"/>
        </w:rPr>
        <w:t xml:space="preserve"> leadership</w:t>
      </w:r>
    </w:p>
    <w:p w:rsidR="008D5B30" w:rsidRPr="00B5286A" w:rsidRDefault="008D5B30" w:rsidP="008D5B30">
      <w:pPr>
        <w:pStyle w:val="ListParagraph"/>
        <w:numPr>
          <w:ilvl w:val="0"/>
          <w:numId w:val="12"/>
        </w:numPr>
        <w:rPr>
          <w:rFonts w:asciiTheme="minorHAnsi" w:hAnsiTheme="minorHAnsi"/>
        </w:rPr>
      </w:pPr>
      <w:r w:rsidRPr="00B5286A">
        <w:rPr>
          <w:rFonts w:asciiTheme="minorHAnsi" w:hAnsiTheme="minorHAnsi"/>
        </w:rPr>
        <w:t xml:space="preserve">Persons experiencing a housing crisis must access </w:t>
      </w:r>
      <w:proofErr w:type="spellStart"/>
      <w:r w:rsidRPr="00B5286A">
        <w:rPr>
          <w:rFonts w:asciiTheme="minorHAnsi" w:hAnsiTheme="minorHAnsi"/>
        </w:rPr>
        <w:t>CoC</w:t>
      </w:r>
      <w:proofErr w:type="spellEnd"/>
      <w:r w:rsidRPr="00B5286A">
        <w:rPr>
          <w:rFonts w:asciiTheme="minorHAnsi" w:hAnsiTheme="minorHAnsi"/>
        </w:rPr>
        <w:t xml:space="preserve"> services and housing using </w:t>
      </w:r>
      <w:proofErr w:type="spellStart"/>
      <w:r w:rsidRPr="00B5286A">
        <w:rPr>
          <w:rFonts w:asciiTheme="minorHAnsi" w:hAnsiTheme="minorHAnsi"/>
        </w:rPr>
        <w:t>CoC</w:t>
      </w:r>
      <w:proofErr w:type="spellEnd"/>
      <w:r w:rsidRPr="00B5286A">
        <w:rPr>
          <w:rFonts w:asciiTheme="minorHAnsi" w:hAnsiTheme="minorHAnsi"/>
        </w:rPr>
        <w:t xml:space="preserve"> defined access points</w:t>
      </w:r>
    </w:p>
    <w:p w:rsidR="008D5B30" w:rsidRPr="00B5286A" w:rsidRDefault="008D5B30" w:rsidP="008D5B30">
      <w:pPr>
        <w:pStyle w:val="ListParagraph"/>
        <w:numPr>
          <w:ilvl w:val="0"/>
          <w:numId w:val="12"/>
        </w:numPr>
        <w:rPr>
          <w:rFonts w:asciiTheme="minorHAnsi" w:hAnsiTheme="minorHAnsi"/>
        </w:rPr>
      </w:pPr>
      <w:proofErr w:type="spellStart"/>
      <w:r w:rsidRPr="00B5286A">
        <w:rPr>
          <w:rFonts w:asciiTheme="minorHAnsi" w:hAnsiTheme="minorHAnsi"/>
        </w:rPr>
        <w:t>CoC</w:t>
      </w:r>
      <w:proofErr w:type="spellEnd"/>
      <w:r w:rsidRPr="00B5286A">
        <w:rPr>
          <w:rFonts w:asciiTheme="minorHAnsi" w:hAnsiTheme="minorHAnsi"/>
        </w:rPr>
        <w:t xml:space="preserve"> projects must enroll only those clients referred according to the </w:t>
      </w:r>
      <w:proofErr w:type="spellStart"/>
      <w:r w:rsidRPr="00B5286A">
        <w:rPr>
          <w:rFonts w:asciiTheme="minorHAnsi" w:hAnsiTheme="minorHAnsi"/>
        </w:rPr>
        <w:t>CoC’s</w:t>
      </w:r>
      <w:proofErr w:type="spellEnd"/>
      <w:r w:rsidRPr="00B5286A">
        <w:rPr>
          <w:rFonts w:asciiTheme="minorHAnsi" w:hAnsiTheme="minorHAnsi"/>
        </w:rPr>
        <w:t xml:space="preserve"> designated referral strategy</w:t>
      </w:r>
    </w:p>
    <w:p w:rsidR="008D5B30" w:rsidRPr="00B5286A" w:rsidRDefault="008D5B30" w:rsidP="008D5B30">
      <w:pPr>
        <w:pStyle w:val="ListParagraph"/>
        <w:numPr>
          <w:ilvl w:val="0"/>
          <w:numId w:val="12"/>
        </w:numPr>
        <w:rPr>
          <w:rFonts w:asciiTheme="minorHAnsi" w:hAnsiTheme="minorHAnsi"/>
        </w:rPr>
      </w:pPr>
      <w:proofErr w:type="spellStart"/>
      <w:r w:rsidRPr="00B5286A">
        <w:rPr>
          <w:rFonts w:asciiTheme="minorHAnsi" w:hAnsiTheme="minorHAnsi"/>
        </w:rPr>
        <w:t>CoC</w:t>
      </w:r>
      <w:proofErr w:type="spellEnd"/>
      <w:r w:rsidRPr="00B5286A">
        <w:rPr>
          <w:rFonts w:asciiTheme="minorHAnsi" w:hAnsiTheme="minorHAnsi"/>
        </w:rPr>
        <w:t xml:space="preserve"> projects must participate in the </w:t>
      </w:r>
      <w:proofErr w:type="spellStart"/>
      <w:r w:rsidRPr="00B5286A">
        <w:rPr>
          <w:rFonts w:asciiTheme="minorHAnsi" w:hAnsiTheme="minorHAnsi"/>
        </w:rPr>
        <w:t>CoC’s</w:t>
      </w:r>
      <w:proofErr w:type="spellEnd"/>
      <w:r w:rsidRPr="00B5286A">
        <w:rPr>
          <w:rFonts w:asciiTheme="minorHAnsi" w:hAnsiTheme="minorHAnsi"/>
        </w:rPr>
        <w:t xml:space="preserve"> Coordinated Assessment planning and management activities as established by </w:t>
      </w:r>
      <w:proofErr w:type="spellStart"/>
      <w:r w:rsidRPr="00B5286A">
        <w:rPr>
          <w:rFonts w:asciiTheme="minorHAnsi" w:hAnsiTheme="minorHAnsi"/>
        </w:rPr>
        <w:t>CoC</w:t>
      </w:r>
      <w:proofErr w:type="spellEnd"/>
      <w:r w:rsidRPr="00B5286A">
        <w:rPr>
          <w:rFonts w:asciiTheme="minorHAnsi" w:hAnsiTheme="minorHAnsi"/>
        </w:rPr>
        <w:t xml:space="preserve"> leadership</w:t>
      </w:r>
    </w:p>
    <w:p w:rsidR="008D5B30" w:rsidRPr="00B5286A" w:rsidRDefault="008D5B30"/>
    <w:p w:rsidR="0091517D" w:rsidRPr="00B5286A" w:rsidRDefault="0091517D"/>
    <w:p w:rsidR="0091517D" w:rsidRPr="00B5286A" w:rsidRDefault="0091517D" w:rsidP="0091517D">
      <w:pPr>
        <w:rPr>
          <w:b/>
          <w:color w:val="1F497D"/>
        </w:rPr>
      </w:pPr>
      <w:r w:rsidRPr="00B5286A">
        <w:rPr>
          <w:b/>
          <w:color w:val="1F497D"/>
        </w:rPr>
        <w:t>Coordinated Entry Design Principles</w:t>
      </w:r>
    </w:p>
    <w:p w:rsidR="0091517D" w:rsidRPr="00B5286A" w:rsidRDefault="0091517D" w:rsidP="0091517D">
      <w:pPr>
        <w:pStyle w:val="ListParagraph"/>
        <w:numPr>
          <w:ilvl w:val="0"/>
          <w:numId w:val="3"/>
        </w:numPr>
        <w:contextualSpacing/>
        <w:rPr>
          <w:rFonts w:asciiTheme="minorHAnsi" w:hAnsiTheme="minorHAnsi"/>
        </w:rPr>
      </w:pPr>
      <w:proofErr w:type="spellStart"/>
      <w:r w:rsidRPr="00B5286A">
        <w:rPr>
          <w:rFonts w:asciiTheme="minorHAnsi" w:hAnsiTheme="minorHAnsi"/>
          <w:b/>
        </w:rPr>
        <w:t>Adoptstatewide</w:t>
      </w:r>
      <w:proofErr w:type="spellEnd"/>
      <w:r w:rsidRPr="00B5286A">
        <w:rPr>
          <w:rFonts w:asciiTheme="minorHAnsi" w:hAnsiTheme="minorHAnsi"/>
          <w:b/>
        </w:rPr>
        <w:t xml:space="preserve"> standards</w:t>
      </w:r>
      <w:r w:rsidRPr="00B5286A">
        <w:rPr>
          <w:rFonts w:asciiTheme="minorHAnsi" w:hAnsiTheme="minorHAnsi"/>
        </w:rPr>
        <w:t xml:space="preserve"> but allow flexibility for local customization beyond baseline standard.</w:t>
      </w:r>
    </w:p>
    <w:p w:rsidR="0091517D" w:rsidRPr="00B5286A" w:rsidRDefault="0091517D" w:rsidP="0091517D">
      <w:pPr>
        <w:pStyle w:val="ListParagraph"/>
        <w:numPr>
          <w:ilvl w:val="0"/>
          <w:numId w:val="3"/>
        </w:numPr>
        <w:contextualSpacing/>
        <w:rPr>
          <w:rFonts w:asciiTheme="minorHAnsi" w:hAnsiTheme="minorHAnsi"/>
        </w:rPr>
      </w:pPr>
      <w:proofErr w:type="spellStart"/>
      <w:r w:rsidRPr="00B5286A">
        <w:rPr>
          <w:rFonts w:asciiTheme="minorHAnsi" w:hAnsiTheme="minorHAnsi"/>
          <w:b/>
        </w:rPr>
        <w:t>Promoteclient</w:t>
      </w:r>
      <w:proofErr w:type="spellEnd"/>
      <w:r w:rsidRPr="00B5286A">
        <w:rPr>
          <w:rFonts w:asciiTheme="minorHAnsi" w:hAnsiTheme="minorHAnsi"/>
          <w:b/>
        </w:rPr>
        <w:t>-centered practices</w:t>
      </w:r>
      <w:r w:rsidRPr="00B5286A">
        <w:rPr>
          <w:rFonts w:asciiTheme="minorHAnsi" w:hAnsiTheme="minorHAnsi"/>
        </w:rPr>
        <w:t xml:space="preserve"> – Every homeless persons should be treated with dignity, offered at least minimal assistance, and participate in their own housing plan.  Provide ongoing opportunities for client participation in the development, oversight, and evaluation of coordinated assessment.  Clients should be offered choice whenever possible.  </w:t>
      </w:r>
    </w:p>
    <w:p w:rsidR="0091517D" w:rsidRPr="00B5286A" w:rsidRDefault="0091517D" w:rsidP="0091517D">
      <w:pPr>
        <w:pStyle w:val="ListParagraph"/>
        <w:numPr>
          <w:ilvl w:val="0"/>
          <w:numId w:val="3"/>
        </w:numPr>
        <w:contextualSpacing/>
        <w:rPr>
          <w:rFonts w:asciiTheme="minorHAnsi" w:hAnsiTheme="minorHAnsi"/>
        </w:rPr>
      </w:pPr>
      <w:r w:rsidRPr="00B5286A">
        <w:rPr>
          <w:rFonts w:asciiTheme="minorHAnsi" w:hAnsiTheme="minorHAnsi"/>
          <w:b/>
        </w:rPr>
        <w:t>Prioritize most vulnerable as the primary factor among many considerations</w:t>
      </w:r>
      <w:r w:rsidRPr="00B5286A">
        <w:rPr>
          <w:rFonts w:asciiTheme="minorHAnsi" w:hAnsiTheme="minorHAnsi"/>
        </w:rPr>
        <w:t xml:space="preserve"> – Limited resources should be direct first to persons and families who are most vulnerable*.  Less vulnerable persons and families will be assisted as resources allow.  *Vulnerability will be defined locally.</w:t>
      </w:r>
    </w:p>
    <w:p w:rsidR="0091517D" w:rsidRPr="00B5286A" w:rsidRDefault="0091517D" w:rsidP="0091517D">
      <w:pPr>
        <w:pStyle w:val="ListParagraph"/>
        <w:numPr>
          <w:ilvl w:val="0"/>
          <w:numId w:val="3"/>
        </w:numPr>
        <w:contextualSpacing/>
        <w:rPr>
          <w:rFonts w:asciiTheme="minorHAnsi" w:hAnsiTheme="minorHAnsi"/>
        </w:rPr>
      </w:pPr>
      <w:r w:rsidRPr="00B5286A">
        <w:rPr>
          <w:rFonts w:asciiTheme="minorHAnsi" w:hAnsiTheme="minorHAnsi"/>
          <w:b/>
        </w:rPr>
        <w:t xml:space="preserve">Eliminate </w:t>
      </w:r>
      <w:proofErr w:type="spellStart"/>
      <w:r w:rsidRPr="00B5286A">
        <w:rPr>
          <w:rFonts w:asciiTheme="minorHAnsi" w:hAnsiTheme="minorHAnsi"/>
          <w:b/>
        </w:rPr>
        <w:t>barriersto</w:t>
      </w:r>
      <w:proofErr w:type="spellEnd"/>
      <w:r w:rsidRPr="00B5286A">
        <w:rPr>
          <w:rFonts w:asciiTheme="minorHAnsi" w:hAnsiTheme="minorHAnsi"/>
          <w:b/>
        </w:rPr>
        <w:t xml:space="preserve"> housing </w:t>
      </w:r>
      <w:proofErr w:type="gramStart"/>
      <w:r w:rsidR="00DA702E">
        <w:rPr>
          <w:rFonts w:asciiTheme="minorHAnsi" w:hAnsiTheme="minorHAnsi"/>
          <w:b/>
        </w:rPr>
        <w:t xml:space="preserve">access </w:t>
      </w:r>
      <w:r w:rsidRPr="00B5286A">
        <w:rPr>
          <w:rFonts w:asciiTheme="minorHAnsi" w:hAnsiTheme="minorHAnsi"/>
        </w:rPr>
        <w:t xml:space="preserve"> –</w:t>
      </w:r>
      <w:proofErr w:type="gramEnd"/>
      <w:r w:rsidRPr="00B5286A">
        <w:rPr>
          <w:rFonts w:asciiTheme="minorHAnsi" w:hAnsiTheme="minorHAnsi"/>
        </w:rPr>
        <w:t xml:space="preserve"> Identify system practices and individual project eligibility criteria which may contribute to excluding clients from services and work to eliminate those barriers.</w:t>
      </w:r>
    </w:p>
    <w:p w:rsidR="0091517D" w:rsidRPr="00B5286A" w:rsidRDefault="0091517D" w:rsidP="0091517D">
      <w:pPr>
        <w:pStyle w:val="ListParagraph"/>
        <w:numPr>
          <w:ilvl w:val="0"/>
          <w:numId w:val="3"/>
        </w:numPr>
        <w:contextualSpacing/>
        <w:rPr>
          <w:rFonts w:asciiTheme="minorHAnsi" w:hAnsiTheme="minorHAnsi"/>
        </w:rPr>
      </w:pPr>
      <w:r w:rsidRPr="00B5286A">
        <w:rPr>
          <w:rFonts w:asciiTheme="minorHAnsi" w:hAnsiTheme="minorHAnsi"/>
          <w:b/>
        </w:rPr>
        <w:t>Transparency</w:t>
      </w:r>
      <w:r w:rsidRPr="00B5286A">
        <w:rPr>
          <w:rFonts w:asciiTheme="minorHAnsi" w:hAnsiTheme="minorHAnsi"/>
        </w:rPr>
        <w:t xml:space="preserve"> – Make thoughtful decisions and communicate directives openly and clearly.</w:t>
      </w:r>
    </w:p>
    <w:p w:rsidR="0091517D" w:rsidRPr="00B5286A" w:rsidRDefault="0091517D" w:rsidP="0091517D">
      <w:pPr>
        <w:pStyle w:val="ListParagraph"/>
        <w:numPr>
          <w:ilvl w:val="0"/>
          <w:numId w:val="3"/>
        </w:numPr>
        <w:contextualSpacing/>
        <w:rPr>
          <w:rFonts w:asciiTheme="minorHAnsi" w:hAnsiTheme="minorHAnsi"/>
        </w:rPr>
      </w:pPr>
      <w:r w:rsidRPr="00B5286A">
        <w:rPr>
          <w:rFonts w:asciiTheme="minorHAnsi" w:hAnsiTheme="minorHAnsi"/>
          <w:b/>
        </w:rPr>
        <w:t>Exercise continuous quality improvement efforts</w:t>
      </w:r>
      <w:r w:rsidRPr="00B5286A">
        <w:rPr>
          <w:rFonts w:asciiTheme="minorHAnsi" w:hAnsiTheme="minorHAnsi"/>
        </w:rPr>
        <w:t xml:space="preserve"> – Continually strive for effectiveness and efficiency and agree to make changes when those objectives are not achieved.</w:t>
      </w:r>
    </w:p>
    <w:p w:rsidR="0091517D" w:rsidRPr="00B5286A" w:rsidRDefault="0091517D" w:rsidP="0091517D">
      <w:pPr>
        <w:pStyle w:val="ListParagraph"/>
        <w:numPr>
          <w:ilvl w:val="0"/>
          <w:numId w:val="3"/>
        </w:numPr>
        <w:contextualSpacing/>
        <w:rPr>
          <w:rFonts w:asciiTheme="minorHAnsi" w:hAnsiTheme="minorHAnsi"/>
        </w:rPr>
      </w:pPr>
      <w:r w:rsidRPr="00B5286A">
        <w:rPr>
          <w:rFonts w:asciiTheme="minorHAnsi" w:hAnsiTheme="minorHAnsi"/>
        </w:rPr>
        <w:t xml:space="preserve">Promote </w:t>
      </w:r>
      <w:r w:rsidRPr="00B5286A">
        <w:rPr>
          <w:rFonts w:asciiTheme="minorHAnsi" w:hAnsiTheme="minorHAnsi"/>
          <w:b/>
        </w:rPr>
        <w:t>collaborative and inclusive</w:t>
      </w:r>
      <w:r w:rsidRPr="00B5286A">
        <w:rPr>
          <w:rFonts w:asciiTheme="minorHAnsi" w:hAnsiTheme="minorHAnsi"/>
        </w:rPr>
        <w:t xml:space="preserve"> planning and decision making practices.</w:t>
      </w:r>
    </w:p>
    <w:p w:rsidR="0091517D" w:rsidRDefault="0091517D" w:rsidP="0091517D">
      <w:pPr>
        <w:pStyle w:val="ListParagraph"/>
        <w:numPr>
          <w:ilvl w:val="0"/>
          <w:numId w:val="3"/>
        </w:numPr>
        <w:contextualSpacing/>
        <w:rPr>
          <w:rFonts w:asciiTheme="minorHAnsi" w:hAnsiTheme="minorHAnsi"/>
        </w:rPr>
      </w:pPr>
      <w:r w:rsidRPr="00B5286A">
        <w:rPr>
          <w:rFonts w:asciiTheme="minorHAnsi" w:hAnsiTheme="minorHAnsi"/>
          <w:b/>
        </w:rPr>
        <w:t>Diversity</w:t>
      </w:r>
      <w:r w:rsidRPr="00B5286A">
        <w:rPr>
          <w:rFonts w:asciiTheme="minorHAnsi" w:hAnsiTheme="minorHAnsi"/>
        </w:rPr>
        <w:t xml:space="preserve"> – Acknowledge and honor tribal sovereignty; respect cultural, regional, programmatic, linguistic, and philosophical differences.</w:t>
      </w:r>
    </w:p>
    <w:p w:rsidR="00DA702E" w:rsidRPr="00DA702E" w:rsidRDefault="00DA702E" w:rsidP="0091517D">
      <w:pPr>
        <w:pStyle w:val="ListParagraph"/>
        <w:numPr>
          <w:ilvl w:val="0"/>
          <w:numId w:val="3"/>
        </w:numPr>
        <w:contextualSpacing/>
        <w:rPr>
          <w:rFonts w:asciiTheme="minorHAnsi" w:hAnsiTheme="minorHAnsi"/>
        </w:rPr>
      </w:pPr>
      <w:r w:rsidRPr="00DA702E">
        <w:rPr>
          <w:rFonts w:asciiTheme="minorHAnsi" w:hAnsiTheme="minorHAnsi"/>
          <w:b/>
        </w:rPr>
        <w:t>Use CE data</w:t>
      </w:r>
      <w:r w:rsidRPr="00DA702E">
        <w:rPr>
          <w:rFonts w:asciiTheme="minorHAnsi" w:hAnsiTheme="minorHAnsi"/>
        </w:rPr>
        <w:t xml:space="preserve"> to </w:t>
      </w:r>
      <w:r>
        <w:rPr>
          <w:rFonts w:asciiTheme="minorHAnsi" w:hAnsiTheme="minorHAnsi"/>
        </w:rPr>
        <w:t>analyze</w:t>
      </w:r>
      <w:r w:rsidRPr="00DA702E">
        <w:rPr>
          <w:rFonts w:asciiTheme="minorHAnsi" w:hAnsiTheme="minorHAnsi"/>
        </w:rPr>
        <w:t xml:space="preserve"> local housing needs and create a diversity of housing options.</w:t>
      </w:r>
    </w:p>
    <w:p w:rsidR="0091517D" w:rsidRPr="00B5286A" w:rsidRDefault="0091517D" w:rsidP="0091517D">
      <w:pPr>
        <w:rPr>
          <w:color w:val="1F497D"/>
        </w:rPr>
      </w:pPr>
    </w:p>
    <w:p w:rsidR="00E320BB" w:rsidRPr="00B5286A" w:rsidRDefault="00E320BB" w:rsidP="0091517D">
      <w:pPr>
        <w:rPr>
          <w:b/>
          <w:color w:val="1F497D"/>
        </w:rPr>
      </w:pPr>
      <w:r w:rsidRPr="00B5286A">
        <w:rPr>
          <w:b/>
          <w:color w:val="1F497D"/>
        </w:rPr>
        <w:t>Prioritization standards</w:t>
      </w:r>
    </w:p>
    <w:p w:rsidR="0091517D" w:rsidRPr="00B5286A" w:rsidRDefault="0091517D" w:rsidP="0091517D">
      <w:r w:rsidRPr="00B5286A">
        <w:lastRenderedPageBreak/>
        <w:t xml:space="preserve">The matching process and eventual referral linkage process will take into account a set of prioritization criteria for each project type.  The order of client priority on the prioritization list will under no circumstances be based on disability type or diagnosis.  </w:t>
      </w:r>
      <w:proofErr w:type="spellStart"/>
      <w:r w:rsidR="00535809" w:rsidRPr="00B5286A">
        <w:t>CoC</w:t>
      </w:r>
      <w:r w:rsidR="00316897" w:rsidRPr="00B5286A">
        <w:t>s</w:t>
      </w:r>
      <w:proofErr w:type="spellEnd"/>
      <w:r w:rsidR="00535809" w:rsidRPr="00B5286A">
        <w:t xml:space="preserve"> will establish p</w:t>
      </w:r>
      <w:r w:rsidRPr="00B5286A">
        <w:t xml:space="preserve">riority for each project type based on the </w:t>
      </w:r>
      <w:r w:rsidRPr="00B5286A">
        <w:rPr>
          <w:bCs/>
          <w:iCs/>
        </w:rPr>
        <w:t xml:space="preserve">severity of the needs, length of time homeless, or subpopulation characteristics, depending on the specific </w:t>
      </w:r>
      <w:proofErr w:type="spellStart"/>
      <w:r w:rsidRPr="00B5286A">
        <w:rPr>
          <w:bCs/>
          <w:iCs/>
        </w:rPr>
        <w:t>CoC</w:t>
      </w:r>
      <w:proofErr w:type="spellEnd"/>
      <w:r w:rsidRPr="00B5286A">
        <w:rPr>
          <w:bCs/>
          <w:iCs/>
        </w:rPr>
        <w:t xml:space="preserve"> component type</w:t>
      </w:r>
      <w:r w:rsidRPr="00B5286A">
        <w:t>.</w:t>
      </w:r>
      <w:r w:rsidR="00535809" w:rsidRPr="00B5286A">
        <w:t xml:space="preserve">  </w:t>
      </w:r>
      <w:proofErr w:type="spellStart"/>
      <w:r w:rsidR="00535809" w:rsidRPr="00B5286A">
        <w:t>CoCs</w:t>
      </w:r>
      <w:proofErr w:type="spellEnd"/>
      <w:r w:rsidR="00535809" w:rsidRPr="00B5286A">
        <w:t xml:space="preserve"> that do not adopt and comply with these priority standards must provide documentation that demonstrates different local needs</w:t>
      </w:r>
      <w:r w:rsidR="00316897" w:rsidRPr="00B5286A">
        <w:t xml:space="preserve"> warrant an alternative approach to service strategy prioritization</w:t>
      </w:r>
      <w:r w:rsidR="00535809" w:rsidRPr="00B5286A">
        <w:t>.</w:t>
      </w:r>
    </w:p>
    <w:p w:rsidR="0091517D" w:rsidRPr="00B5286A" w:rsidRDefault="0091517D" w:rsidP="0091517D"/>
    <w:p w:rsidR="000F0847" w:rsidRPr="00B5286A" w:rsidRDefault="000F0847" w:rsidP="0091517D">
      <w:r w:rsidRPr="00B5286A">
        <w:t xml:space="preserve">Each </w:t>
      </w:r>
      <w:proofErr w:type="spellStart"/>
      <w:r w:rsidR="00853F5B" w:rsidRPr="00B5286A">
        <w:t>CoC</w:t>
      </w:r>
      <w:proofErr w:type="spellEnd"/>
      <w:r w:rsidR="00853F5B" w:rsidRPr="00B5286A">
        <w:t xml:space="preserve"> must define a minimum VI-SPDAT score</w:t>
      </w:r>
      <w:r w:rsidR="00316897" w:rsidRPr="00B5286A">
        <w:t xml:space="preserve"> or score range associated with referrals </w:t>
      </w:r>
      <w:r w:rsidRPr="00B5286A">
        <w:t xml:space="preserve">to </w:t>
      </w:r>
      <w:proofErr w:type="spellStart"/>
      <w:r w:rsidRPr="00B5286A">
        <w:t>CoC</w:t>
      </w:r>
      <w:proofErr w:type="spellEnd"/>
      <w:r w:rsidRPr="00B5286A">
        <w:t xml:space="preserve"> </w:t>
      </w:r>
      <w:r w:rsidR="00316897" w:rsidRPr="00B5286A">
        <w:t>resources such as RRH, TH, or PSH</w:t>
      </w:r>
      <w:r w:rsidR="00046064" w:rsidRPr="00B5286A">
        <w:t>.</w:t>
      </w:r>
    </w:p>
    <w:p w:rsidR="000F0847" w:rsidRPr="00B5286A" w:rsidRDefault="000F0847" w:rsidP="0091517D"/>
    <w:p w:rsidR="0091517D" w:rsidRPr="00B5286A" w:rsidRDefault="00974999" w:rsidP="00974999">
      <w:pPr>
        <w:pStyle w:val="ListParagraph"/>
        <w:numPr>
          <w:ilvl w:val="0"/>
          <w:numId w:val="7"/>
        </w:numPr>
        <w:rPr>
          <w:rFonts w:asciiTheme="minorHAnsi" w:hAnsiTheme="minorHAnsi"/>
        </w:rPr>
      </w:pPr>
      <w:r w:rsidRPr="00B5286A">
        <w:rPr>
          <w:rFonts w:asciiTheme="minorHAnsi" w:hAnsiTheme="minorHAnsi"/>
        </w:rPr>
        <w:t>I</w:t>
      </w:r>
      <w:r w:rsidR="0091517D" w:rsidRPr="00B5286A">
        <w:rPr>
          <w:rFonts w:asciiTheme="minorHAnsi" w:hAnsiTheme="minorHAnsi"/>
        </w:rPr>
        <w:t xml:space="preserve">ndividuals and families </w:t>
      </w:r>
      <w:r w:rsidRPr="00B5286A">
        <w:rPr>
          <w:rFonts w:asciiTheme="minorHAnsi" w:hAnsiTheme="minorHAnsi"/>
        </w:rPr>
        <w:t xml:space="preserve">will be </w:t>
      </w:r>
      <w:r w:rsidR="0091517D" w:rsidRPr="00B5286A">
        <w:rPr>
          <w:rFonts w:asciiTheme="minorHAnsi" w:hAnsiTheme="minorHAnsi"/>
        </w:rPr>
        <w:t xml:space="preserve">referred to </w:t>
      </w:r>
      <w:r w:rsidRPr="00B5286A">
        <w:rPr>
          <w:rFonts w:asciiTheme="minorHAnsi" w:hAnsiTheme="minorHAnsi"/>
          <w:b/>
          <w:i/>
        </w:rPr>
        <w:t>Rapid Re-Housing</w:t>
      </w:r>
      <w:r w:rsidRPr="00B5286A">
        <w:rPr>
          <w:rFonts w:asciiTheme="minorHAnsi" w:hAnsiTheme="minorHAnsi"/>
        </w:rPr>
        <w:t xml:space="preserve"> according to the following prioritization criteria:</w:t>
      </w:r>
    </w:p>
    <w:p w:rsidR="00974999" w:rsidRPr="00B5286A" w:rsidRDefault="00974999" w:rsidP="00974999">
      <w:pPr>
        <w:pStyle w:val="Body"/>
        <w:numPr>
          <w:ilvl w:val="0"/>
          <w:numId w:val="5"/>
        </w:numPr>
        <w:spacing w:after="0" w:line="240" w:lineRule="auto"/>
        <w:rPr>
          <w:rFonts w:asciiTheme="minorHAnsi" w:hAnsiTheme="minorHAnsi"/>
          <w:color w:val="000000" w:themeColor="text1"/>
        </w:rPr>
      </w:pPr>
      <w:r w:rsidRPr="00B5286A">
        <w:rPr>
          <w:rFonts w:asciiTheme="minorHAnsi" w:hAnsiTheme="minorHAnsi"/>
          <w:bCs/>
          <w:iCs/>
          <w:color w:val="000000" w:themeColor="text1"/>
        </w:rPr>
        <w:t>At least</w:t>
      </w:r>
      <w:r w:rsidRPr="00B5286A">
        <w:rPr>
          <w:rFonts w:asciiTheme="minorHAnsi" w:hAnsiTheme="minorHAnsi"/>
          <w:b/>
          <w:color w:val="000000" w:themeColor="text1"/>
        </w:rPr>
        <w:t>75%</w:t>
      </w:r>
      <w:r w:rsidRPr="00B5286A">
        <w:rPr>
          <w:rFonts w:asciiTheme="minorHAnsi" w:hAnsiTheme="minorHAnsi"/>
          <w:color w:val="000000" w:themeColor="text1"/>
        </w:rPr>
        <w:t xml:space="preserve"> of available RRH resources must be filled with individuals or families that </w:t>
      </w:r>
      <w:r w:rsidR="005B1AAB" w:rsidRPr="00B5286A">
        <w:rPr>
          <w:rFonts w:asciiTheme="minorHAnsi" w:hAnsiTheme="minorHAnsi"/>
          <w:color w:val="000000" w:themeColor="text1"/>
        </w:rPr>
        <w:t>score for RRH based on the VI-SPDAT</w:t>
      </w:r>
      <w:r w:rsidR="000F0847" w:rsidRPr="00B5286A">
        <w:rPr>
          <w:rFonts w:asciiTheme="minorHAnsi" w:hAnsiTheme="minorHAnsi"/>
          <w:color w:val="000000" w:themeColor="text1"/>
        </w:rPr>
        <w:t xml:space="preserve"> as determined by each </w:t>
      </w:r>
      <w:proofErr w:type="spellStart"/>
      <w:r w:rsidR="000F0847" w:rsidRPr="00B5286A">
        <w:rPr>
          <w:rFonts w:asciiTheme="minorHAnsi" w:hAnsiTheme="minorHAnsi"/>
          <w:color w:val="000000" w:themeColor="text1"/>
        </w:rPr>
        <w:t>CoC</w:t>
      </w:r>
      <w:proofErr w:type="spellEnd"/>
      <w:r w:rsidR="005B1AAB" w:rsidRPr="00B5286A">
        <w:rPr>
          <w:rFonts w:asciiTheme="minorHAnsi" w:hAnsiTheme="minorHAnsi"/>
          <w:color w:val="000000" w:themeColor="text1"/>
        </w:rPr>
        <w:t>.</w:t>
      </w:r>
      <w:r w:rsidR="00316897" w:rsidRPr="00B5286A">
        <w:rPr>
          <w:rFonts w:asciiTheme="minorHAnsi" w:hAnsiTheme="minorHAnsi"/>
          <w:color w:val="000000" w:themeColor="text1"/>
        </w:rPr>
        <w:t xml:space="preserve">  </w:t>
      </w:r>
      <w:proofErr w:type="spellStart"/>
      <w:r w:rsidR="00316897" w:rsidRPr="00B5286A">
        <w:rPr>
          <w:rFonts w:asciiTheme="minorHAnsi" w:hAnsiTheme="minorHAnsi"/>
          <w:color w:val="000000" w:themeColor="text1"/>
        </w:rPr>
        <w:t>CoCs</w:t>
      </w:r>
      <w:proofErr w:type="spellEnd"/>
      <w:r w:rsidR="00316897" w:rsidRPr="00B5286A">
        <w:rPr>
          <w:rFonts w:asciiTheme="minorHAnsi" w:hAnsiTheme="minorHAnsi"/>
          <w:color w:val="000000" w:themeColor="text1"/>
        </w:rPr>
        <w:t xml:space="preserve"> may enact more rigorous standards (e.g. </w:t>
      </w:r>
    </w:p>
    <w:p w:rsidR="00974999" w:rsidRPr="00B5286A" w:rsidRDefault="00974999" w:rsidP="00974999">
      <w:pPr>
        <w:pStyle w:val="Body"/>
        <w:spacing w:after="0" w:line="240" w:lineRule="auto"/>
        <w:rPr>
          <w:rFonts w:asciiTheme="minorHAnsi" w:hAnsiTheme="minorHAnsi"/>
        </w:rPr>
      </w:pPr>
    </w:p>
    <w:p w:rsidR="00974999" w:rsidRPr="00B5286A" w:rsidRDefault="00974999" w:rsidP="00974999">
      <w:pPr>
        <w:pStyle w:val="Body"/>
        <w:numPr>
          <w:ilvl w:val="0"/>
          <w:numId w:val="7"/>
        </w:numPr>
        <w:spacing w:after="0" w:line="240" w:lineRule="auto"/>
        <w:rPr>
          <w:rFonts w:asciiTheme="minorHAnsi" w:hAnsiTheme="minorHAnsi"/>
        </w:rPr>
      </w:pPr>
      <w:r w:rsidRPr="00B5286A">
        <w:rPr>
          <w:rFonts w:asciiTheme="minorHAnsi" w:hAnsiTheme="minorHAnsi"/>
        </w:rPr>
        <w:t xml:space="preserve">Individuals and families will be referred to </w:t>
      </w:r>
      <w:r w:rsidRPr="00B5286A">
        <w:rPr>
          <w:rFonts w:asciiTheme="minorHAnsi" w:hAnsiTheme="minorHAnsi"/>
          <w:b/>
          <w:i/>
        </w:rPr>
        <w:t>Transitional Housing</w:t>
      </w:r>
      <w:r w:rsidRPr="00B5286A">
        <w:rPr>
          <w:rFonts w:asciiTheme="minorHAnsi" w:hAnsiTheme="minorHAnsi"/>
        </w:rPr>
        <w:t xml:space="preserve"> according to the following prioritization criteria:</w:t>
      </w:r>
    </w:p>
    <w:p w:rsidR="00974999" w:rsidRPr="00B5286A" w:rsidRDefault="00974999" w:rsidP="00974999">
      <w:pPr>
        <w:pStyle w:val="Body"/>
        <w:numPr>
          <w:ilvl w:val="0"/>
          <w:numId w:val="8"/>
        </w:numPr>
        <w:spacing w:after="0" w:line="240" w:lineRule="auto"/>
        <w:rPr>
          <w:rFonts w:asciiTheme="minorHAnsi" w:hAnsiTheme="minorHAnsi"/>
          <w:color w:val="000000" w:themeColor="text1"/>
        </w:rPr>
      </w:pPr>
      <w:r w:rsidRPr="00B5286A">
        <w:rPr>
          <w:rFonts w:asciiTheme="minorHAnsi" w:hAnsiTheme="minorHAnsi"/>
          <w:color w:val="000000" w:themeColor="text1"/>
        </w:rPr>
        <w:t xml:space="preserve">At least </w:t>
      </w:r>
      <w:r w:rsidRPr="00B5286A">
        <w:rPr>
          <w:rFonts w:asciiTheme="minorHAnsi" w:hAnsiTheme="minorHAnsi"/>
          <w:b/>
          <w:color w:val="000000" w:themeColor="text1"/>
        </w:rPr>
        <w:t>75%</w:t>
      </w:r>
      <w:r w:rsidR="00853F5B" w:rsidRPr="00B5286A">
        <w:rPr>
          <w:rStyle w:val="FootnoteReference"/>
          <w:rFonts w:asciiTheme="minorHAnsi" w:hAnsiTheme="minorHAnsi"/>
          <w:b/>
          <w:color w:val="000000" w:themeColor="text1"/>
        </w:rPr>
        <w:footnoteReference w:id="1"/>
      </w:r>
      <w:r w:rsidRPr="00B5286A">
        <w:rPr>
          <w:rFonts w:asciiTheme="minorHAnsi" w:hAnsiTheme="minorHAnsi"/>
          <w:color w:val="000000" w:themeColor="text1"/>
        </w:rPr>
        <w:t xml:space="preserve"> of available TH units within a </w:t>
      </w:r>
      <w:proofErr w:type="spellStart"/>
      <w:r w:rsidRPr="00B5286A">
        <w:rPr>
          <w:rFonts w:asciiTheme="minorHAnsi" w:hAnsiTheme="minorHAnsi"/>
          <w:color w:val="000000" w:themeColor="text1"/>
        </w:rPr>
        <w:t>CoC</w:t>
      </w:r>
      <w:proofErr w:type="spellEnd"/>
      <w:r w:rsidRPr="00B5286A">
        <w:rPr>
          <w:rFonts w:asciiTheme="minorHAnsi" w:hAnsiTheme="minorHAnsi"/>
          <w:color w:val="000000" w:themeColor="text1"/>
        </w:rPr>
        <w:t xml:space="preserve"> must be filled with households that </w:t>
      </w:r>
      <w:r w:rsidR="005B1AAB" w:rsidRPr="00B5286A">
        <w:rPr>
          <w:rFonts w:asciiTheme="minorHAnsi" w:hAnsiTheme="minorHAnsi"/>
          <w:color w:val="000000" w:themeColor="text1"/>
        </w:rPr>
        <w:t xml:space="preserve">score for TH based on the VI-SPDAT </w:t>
      </w:r>
      <w:proofErr w:type="spellStart"/>
      <w:r w:rsidR="005B1AAB" w:rsidRPr="00B5286A">
        <w:rPr>
          <w:rFonts w:asciiTheme="minorHAnsi" w:hAnsiTheme="minorHAnsi"/>
          <w:b/>
          <w:color w:val="000000" w:themeColor="text1"/>
        </w:rPr>
        <w:t>AND</w:t>
      </w:r>
      <w:r w:rsidRPr="00B5286A">
        <w:rPr>
          <w:rFonts w:asciiTheme="minorHAnsi" w:hAnsiTheme="minorHAnsi"/>
          <w:color w:val="000000" w:themeColor="text1"/>
        </w:rPr>
        <w:t>meet</w:t>
      </w:r>
      <w:proofErr w:type="spellEnd"/>
      <w:r w:rsidRPr="00B5286A">
        <w:rPr>
          <w:rFonts w:asciiTheme="minorHAnsi" w:hAnsiTheme="minorHAnsi"/>
          <w:color w:val="000000" w:themeColor="text1"/>
        </w:rPr>
        <w:t xml:space="preserve"> the criteria of </w:t>
      </w:r>
      <w:r w:rsidR="00535809" w:rsidRPr="00B5286A">
        <w:rPr>
          <w:rFonts w:asciiTheme="minorHAnsi" w:hAnsiTheme="minorHAnsi"/>
          <w:color w:val="000000" w:themeColor="text1"/>
        </w:rPr>
        <w:t xml:space="preserve">at least </w:t>
      </w:r>
      <w:r w:rsidRPr="00B5286A">
        <w:rPr>
          <w:rFonts w:asciiTheme="minorHAnsi" w:hAnsiTheme="minorHAnsi"/>
          <w:color w:val="000000" w:themeColor="text1"/>
        </w:rPr>
        <w:t>one of the priority groups identified below:</w:t>
      </w:r>
    </w:p>
    <w:p w:rsidR="00974999" w:rsidRPr="00B5286A" w:rsidRDefault="00974999" w:rsidP="00974999">
      <w:pPr>
        <w:pStyle w:val="Body"/>
        <w:numPr>
          <w:ilvl w:val="0"/>
          <w:numId w:val="9"/>
        </w:numPr>
        <w:spacing w:after="0" w:line="240" w:lineRule="auto"/>
        <w:rPr>
          <w:rFonts w:asciiTheme="minorHAnsi" w:hAnsiTheme="minorHAnsi"/>
          <w:color w:val="000000" w:themeColor="text1"/>
        </w:rPr>
      </w:pPr>
      <w:r w:rsidRPr="00B5286A">
        <w:rPr>
          <w:rFonts w:asciiTheme="minorHAnsi" w:hAnsiTheme="minorHAnsi"/>
          <w:b/>
          <w:bCs/>
          <w:i/>
          <w:iCs/>
          <w:color w:val="000000" w:themeColor="text1"/>
        </w:rPr>
        <w:t xml:space="preserve">Youth – </w:t>
      </w:r>
      <w:r w:rsidRPr="00B5286A">
        <w:rPr>
          <w:rFonts w:asciiTheme="minorHAnsi" w:hAnsiTheme="minorHAnsi"/>
          <w:color w:val="000000" w:themeColor="text1"/>
        </w:rPr>
        <w:t>All individuals between the ages of 15-24 who present as a household.  This can include unaccompanied youth (household size of one), and multiple youth who are seeking assistance together.</w:t>
      </w:r>
    </w:p>
    <w:p w:rsidR="00974999" w:rsidRPr="00B5286A" w:rsidRDefault="00974999" w:rsidP="00974999">
      <w:pPr>
        <w:pStyle w:val="Body"/>
        <w:numPr>
          <w:ilvl w:val="0"/>
          <w:numId w:val="9"/>
        </w:numPr>
        <w:spacing w:after="0" w:line="240" w:lineRule="auto"/>
        <w:rPr>
          <w:rFonts w:asciiTheme="minorHAnsi" w:hAnsiTheme="minorHAnsi"/>
          <w:color w:val="000000" w:themeColor="text1"/>
        </w:rPr>
      </w:pPr>
      <w:r w:rsidRPr="00B5286A">
        <w:rPr>
          <w:rFonts w:asciiTheme="minorHAnsi" w:hAnsiTheme="minorHAnsi"/>
          <w:b/>
          <w:bCs/>
          <w:i/>
          <w:iCs/>
          <w:color w:val="000000" w:themeColor="text1"/>
        </w:rPr>
        <w:t xml:space="preserve">Youth Parents – </w:t>
      </w:r>
      <w:r w:rsidRPr="00B5286A">
        <w:rPr>
          <w:rFonts w:asciiTheme="minorHAnsi" w:hAnsiTheme="minorHAnsi"/>
          <w:bCs/>
          <w:iCs/>
          <w:color w:val="000000" w:themeColor="text1"/>
        </w:rPr>
        <w:t>Women and men between the ages of 15-24 who are the parent of at least one child and are seeking assistance with that child(</w:t>
      </w:r>
      <w:proofErr w:type="spellStart"/>
      <w:r w:rsidRPr="00B5286A">
        <w:rPr>
          <w:rFonts w:asciiTheme="minorHAnsi" w:hAnsiTheme="minorHAnsi"/>
          <w:bCs/>
          <w:iCs/>
          <w:color w:val="000000" w:themeColor="text1"/>
        </w:rPr>
        <w:t>ren</w:t>
      </w:r>
      <w:proofErr w:type="spellEnd"/>
      <w:r w:rsidRPr="00B5286A">
        <w:rPr>
          <w:rFonts w:asciiTheme="minorHAnsi" w:hAnsiTheme="minorHAnsi"/>
          <w:bCs/>
          <w:iCs/>
          <w:color w:val="000000" w:themeColor="text1"/>
        </w:rPr>
        <w:t>).</w:t>
      </w:r>
    </w:p>
    <w:p w:rsidR="00974999" w:rsidRPr="00B5286A" w:rsidRDefault="00974999" w:rsidP="00974999">
      <w:pPr>
        <w:pStyle w:val="Body"/>
        <w:numPr>
          <w:ilvl w:val="0"/>
          <w:numId w:val="9"/>
        </w:numPr>
        <w:spacing w:after="0" w:line="240" w:lineRule="auto"/>
        <w:rPr>
          <w:rFonts w:asciiTheme="minorHAnsi" w:hAnsiTheme="minorHAnsi"/>
          <w:bCs/>
          <w:iCs/>
          <w:color w:val="000000" w:themeColor="text1"/>
        </w:rPr>
      </w:pPr>
      <w:r w:rsidRPr="00B5286A">
        <w:rPr>
          <w:rFonts w:asciiTheme="minorHAnsi" w:hAnsiTheme="minorHAnsi"/>
          <w:b/>
          <w:bCs/>
          <w:i/>
          <w:iCs/>
          <w:color w:val="000000" w:themeColor="text1"/>
        </w:rPr>
        <w:t xml:space="preserve">Domestic Violence survivors – </w:t>
      </w:r>
      <w:r w:rsidRPr="00B5286A">
        <w:rPr>
          <w:rFonts w:asciiTheme="minorHAnsi" w:hAnsiTheme="minorHAnsi"/>
          <w:bCs/>
          <w:iCs/>
          <w:color w:val="000000" w:themeColor="text1"/>
        </w:rPr>
        <w:t>Individuals and families with at least one person who identifies a domestic violence experience as the primary reason causing their housing crisis.</w:t>
      </w:r>
    </w:p>
    <w:p w:rsidR="005B1AAB" w:rsidRPr="00B5286A" w:rsidRDefault="005B1AAB" w:rsidP="00974999">
      <w:pPr>
        <w:pStyle w:val="Body"/>
        <w:numPr>
          <w:ilvl w:val="0"/>
          <w:numId w:val="9"/>
        </w:numPr>
        <w:spacing w:after="0" w:line="240" w:lineRule="auto"/>
        <w:rPr>
          <w:rFonts w:asciiTheme="minorHAnsi" w:hAnsiTheme="minorHAnsi"/>
          <w:bCs/>
          <w:iCs/>
          <w:color w:val="000000" w:themeColor="text1"/>
        </w:rPr>
      </w:pPr>
      <w:r w:rsidRPr="00B5286A">
        <w:rPr>
          <w:rFonts w:asciiTheme="minorHAnsi" w:hAnsiTheme="minorHAnsi"/>
          <w:b/>
          <w:bCs/>
          <w:i/>
          <w:iCs/>
          <w:color w:val="000000" w:themeColor="text1"/>
        </w:rPr>
        <w:t xml:space="preserve">Persons being released from correctional facilities </w:t>
      </w:r>
      <w:r w:rsidRPr="00B5286A">
        <w:rPr>
          <w:rFonts w:asciiTheme="minorHAnsi" w:hAnsiTheme="minorHAnsi"/>
          <w:bCs/>
          <w:iCs/>
          <w:color w:val="000000" w:themeColor="text1"/>
        </w:rPr>
        <w:t>and were homeless before entering prison/jail</w:t>
      </w:r>
    </w:p>
    <w:p w:rsidR="00974999" w:rsidRPr="00B5286A" w:rsidRDefault="00974999" w:rsidP="00974999">
      <w:pPr>
        <w:pStyle w:val="Body"/>
        <w:numPr>
          <w:ilvl w:val="0"/>
          <w:numId w:val="9"/>
        </w:numPr>
        <w:spacing w:after="0" w:line="240" w:lineRule="auto"/>
        <w:rPr>
          <w:rFonts w:asciiTheme="minorHAnsi" w:hAnsiTheme="minorHAnsi"/>
          <w:color w:val="000000" w:themeColor="text1"/>
        </w:rPr>
      </w:pPr>
      <w:r w:rsidRPr="00B5286A">
        <w:rPr>
          <w:rFonts w:asciiTheme="minorHAnsi" w:hAnsiTheme="minorHAnsi"/>
          <w:b/>
          <w:bCs/>
          <w:i/>
          <w:iCs/>
          <w:color w:val="000000" w:themeColor="text1"/>
        </w:rPr>
        <w:t xml:space="preserve">Pregnant women - </w:t>
      </w:r>
      <w:r w:rsidRPr="00B5286A">
        <w:rPr>
          <w:rFonts w:asciiTheme="minorHAnsi" w:hAnsiTheme="minorHAnsi"/>
          <w:color w:val="000000" w:themeColor="text1"/>
        </w:rPr>
        <w:t>Women who are pregnant, regardless of their age or whether they have any additional children.</w:t>
      </w:r>
    </w:p>
    <w:p w:rsidR="00974999" w:rsidRPr="00B5286A" w:rsidRDefault="00974999" w:rsidP="00974999">
      <w:pPr>
        <w:pStyle w:val="Body"/>
        <w:numPr>
          <w:ilvl w:val="0"/>
          <w:numId w:val="9"/>
        </w:numPr>
        <w:spacing w:after="0" w:line="240" w:lineRule="auto"/>
        <w:rPr>
          <w:rFonts w:asciiTheme="minorHAnsi" w:hAnsiTheme="minorHAnsi"/>
          <w:color w:val="000000" w:themeColor="text1"/>
        </w:rPr>
      </w:pPr>
      <w:r w:rsidRPr="00B5286A">
        <w:rPr>
          <w:rFonts w:asciiTheme="minorHAnsi" w:hAnsiTheme="minorHAnsi"/>
          <w:b/>
          <w:bCs/>
          <w:i/>
          <w:iCs/>
          <w:color w:val="000000" w:themeColor="text1"/>
        </w:rPr>
        <w:t xml:space="preserve">Persons in the early stages of AOD addiction recovery - </w:t>
      </w:r>
      <w:r w:rsidRPr="00B5286A">
        <w:rPr>
          <w:rFonts w:asciiTheme="minorHAnsi" w:hAnsiTheme="minorHAnsi"/>
          <w:color w:val="000000" w:themeColor="text1"/>
        </w:rPr>
        <w:t>Individuals and families with at least one person who recently began receiving services to assist in their recovery from alcohol or other drug addiction.  This can include (but is not limited to) people who were recently released from a treatme</w:t>
      </w:r>
      <w:r w:rsidR="00535809" w:rsidRPr="00B5286A">
        <w:rPr>
          <w:rFonts w:asciiTheme="minorHAnsi" w:hAnsiTheme="minorHAnsi"/>
          <w:color w:val="000000" w:themeColor="text1"/>
        </w:rPr>
        <w:t>nt center or other institution</w:t>
      </w:r>
      <w:r w:rsidRPr="00B5286A">
        <w:rPr>
          <w:rFonts w:asciiTheme="minorHAnsi" w:hAnsiTheme="minorHAnsi"/>
          <w:color w:val="000000" w:themeColor="text1"/>
        </w:rPr>
        <w:t xml:space="preserve">. </w:t>
      </w:r>
    </w:p>
    <w:p w:rsidR="00535809" w:rsidRPr="00B5286A" w:rsidRDefault="00535809" w:rsidP="00974999">
      <w:pPr>
        <w:pStyle w:val="Body"/>
        <w:numPr>
          <w:ilvl w:val="0"/>
          <w:numId w:val="9"/>
        </w:numPr>
        <w:spacing w:after="0" w:line="240" w:lineRule="auto"/>
        <w:rPr>
          <w:rFonts w:asciiTheme="minorHAnsi" w:hAnsiTheme="minorHAnsi"/>
          <w:color w:val="000000" w:themeColor="text1"/>
        </w:rPr>
      </w:pPr>
      <w:r w:rsidRPr="00B5286A">
        <w:rPr>
          <w:rFonts w:asciiTheme="minorHAnsi" w:hAnsiTheme="minorHAnsi"/>
          <w:b/>
          <w:bCs/>
          <w:i/>
          <w:iCs/>
          <w:color w:val="000000" w:themeColor="text1"/>
        </w:rPr>
        <w:t>Veterans (choosing Grant and Per Diem - GPD)</w:t>
      </w:r>
    </w:p>
    <w:p w:rsidR="00974999" w:rsidRPr="00B5286A" w:rsidRDefault="00974999" w:rsidP="00974999">
      <w:pPr>
        <w:pStyle w:val="Body"/>
        <w:spacing w:after="0" w:line="240" w:lineRule="auto"/>
        <w:rPr>
          <w:rFonts w:asciiTheme="minorHAnsi" w:hAnsiTheme="minorHAnsi"/>
          <w:i/>
          <w:iCs/>
        </w:rPr>
      </w:pPr>
    </w:p>
    <w:p w:rsidR="009772E1" w:rsidRPr="00B5286A" w:rsidRDefault="00974999" w:rsidP="009772E1">
      <w:pPr>
        <w:pStyle w:val="ListParagraph"/>
        <w:numPr>
          <w:ilvl w:val="0"/>
          <w:numId w:val="7"/>
        </w:numPr>
        <w:rPr>
          <w:rFonts w:asciiTheme="minorHAnsi" w:hAnsiTheme="minorHAnsi"/>
        </w:rPr>
      </w:pPr>
      <w:r w:rsidRPr="00B5286A">
        <w:rPr>
          <w:rFonts w:asciiTheme="minorHAnsi" w:hAnsiTheme="minorHAnsi"/>
        </w:rPr>
        <w:t xml:space="preserve">Individuals and families will be referred to </w:t>
      </w:r>
      <w:r w:rsidRPr="00B5286A">
        <w:rPr>
          <w:rFonts w:asciiTheme="minorHAnsi" w:hAnsiTheme="minorHAnsi"/>
          <w:b/>
          <w:i/>
        </w:rPr>
        <w:t>Permanent Supportive Housing</w:t>
      </w:r>
      <w:r w:rsidRPr="00B5286A">
        <w:rPr>
          <w:rFonts w:asciiTheme="minorHAnsi" w:hAnsiTheme="minorHAnsi"/>
        </w:rPr>
        <w:t xml:space="preserve"> according to </w:t>
      </w:r>
      <w:r w:rsidR="009772E1" w:rsidRPr="00B5286A">
        <w:rPr>
          <w:rFonts w:asciiTheme="minorHAnsi" w:hAnsiTheme="minorHAnsi"/>
        </w:rPr>
        <w:t>specific prioritization protocol</w:t>
      </w:r>
      <w:r w:rsidR="00F6510A" w:rsidRPr="00B5286A">
        <w:rPr>
          <w:rFonts w:asciiTheme="minorHAnsi" w:hAnsiTheme="minorHAnsi"/>
        </w:rPr>
        <w:t>s</w:t>
      </w:r>
      <w:r w:rsidR="009772E1" w:rsidRPr="00B5286A">
        <w:rPr>
          <w:rFonts w:asciiTheme="minorHAnsi" w:hAnsiTheme="minorHAnsi"/>
        </w:rPr>
        <w:t xml:space="preserve"> as defined by each </w:t>
      </w:r>
      <w:proofErr w:type="spellStart"/>
      <w:r w:rsidR="009772E1" w:rsidRPr="00B5286A">
        <w:rPr>
          <w:rFonts w:asciiTheme="minorHAnsi" w:hAnsiTheme="minorHAnsi"/>
        </w:rPr>
        <w:t>CoC</w:t>
      </w:r>
      <w:proofErr w:type="spellEnd"/>
      <w:r w:rsidR="009772E1" w:rsidRPr="00B5286A">
        <w:rPr>
          <w:rFonts w:asciiTheme="minorHAnsi" w:hAnsiTheme="minorHAnsi"/>
        </w:rPr>
        <w:t xml:space="preserve"> which must include the following attributes:</w:t>
      </w:r>
    </w:p>
    <w:p w:rsidR="009772E1" w:rsidRPr="00B5286A" w:rsidRDefault="009772E1" w:rsidP="009772E1">
      <w:pPr>
        <w:pStyle w:val="ListParagraph"/>
        <w:numPr>
          <w:ilvl w:val="1"/>
          <w:numId w:val="8"/>
        </w:numPr>
        <w:rPr>
          <w:rFonts w:asciiTheme="minorHAnsi" w:hAnsiTheme="minorHAnsi"/>
        </w:rPr>
      </w:pPr>
      <w:r w:rsidRPr="00B5286A">
        <w:rPr>
          <w:rFonts w:asciiTheme="minorHAnsi" w:hAnsiTheme="minorHAnsi"/>
        </w:rPr>
        <w:t>Chronic homelessness as defined by HUD</w:t>
      </w:r>
    </w:p>
    <w:p w:rsidR="009772E1" w:rsidRPr="00B5286A" w:rsidRDefault="009772E1" w:rsidP="009772E1">
      <w:pPr>
        <w:pStyle w:val="ListParagraph"/>
        <w:numPr>
          <w:ilvl w:val="1"/>
          <w:numId w:val="8"/>
        </w:numPr>
        <w:rPr>
          <w:rFonts w:asciiTheme="minorHAnsi" w:hAnsiTheme="minorHAnsi"/>
        </w:rPr>
      </w:pPr>
      <w:r w:rsidRPr="00B5286A">
        <w:rPr>
          <w:rFonts w:asciiTheme="minorHAnsi" w:hAnsiTheme="minorHAnsi"/>
        </w:rPr>
        <w:t>Long-Term-Homeless as defined by State of MN</w:t>
      </w:r>
    </w:p>
    <w:p w:rsidR="009772E1" w:rsidRPr="00B5286A" w:rsidRDefault="004A6689" w:rsidP="009772E1">
      <w:pPr>
        <w:pStyle w:val="ListParagraph"/>
        <w:numPr>
          <w:ilvl w:val="1"/>
          <w:numId w:val="8"/>
        </w:numPr>
        <w:rPr>
          <w:rFonts w:asciiTheme="minorHAnsi" w:hAnsiTheme="minorHAnsi"/>
        </w:rPr>
      </w:pPr>
      <w:r w:rsidRPr="00B5286A">
        <w:rPr>
          <w:rFonts w:asciiTheme="minorHAnsi" w:hAnsiTheme="minorHAnsi"/>
        </w:rPr>
        <w:t xml:space="preserve">longest </w:t>
      </w:r>
      <w:r w:rsidR="009772E1" w:rsidRPr="00B5286A">
        <w:rPr>
          <w:rFonts w:asciiTheme="minorHAnsi" w:hAnsiTheme="minorHAnsi"/>
        </w:rPr>
        <w:t>history of homelessness</w:t>
      </w:r>
    </w:p>
    <w:p w:rsidR="009772E1" w:rsidRPr="00B5286A" w:rsidRDefault="004A6689" w:rsidP="009772E1">
      <w:pPr>
        <w:pStyle w:val="ListParagraph"/>
        <w:numPr>
          <w:ilvl w:val="1"/>
          <w:numId w:val="8"/>
        </w:numPr>
        <w:rPr>
          <w:rFonts w:asciiTheme="minorHAnsi" w:hAnsiTheme="minorHAnsi"/>
        </w:rPr>
      </w:pPr>
      <w:r w:rsidRPr="00B5286A">
        <w:rPr>
          <w:rFonts w:asciiTheme="minorHAnsi" w:hAnsiTheme="minorHAnsi"/>
        </w:rPr>
        <w:lastRenderedPageBreak/>
        <w:t>most severe service needs as determined by the VI-SPDAT score</w:t>
      </w:r>
    </w:p>
    <w:p w:rsidR="0091517D" w:rsidRPr="00B5286A" w:rsidRDefault="0091517D" w:rsidP="0091517D">
      <w:pPr>
        <w:rPr>
          <w:color w:val="1F497D"/>
        </w:rPr>
      </w:pPr>
    </w:p>
    <w:p w:rsidR="00BD0CC9" w:rsidRPr="00B5286A" w:rsidRDefault="00BD0CC9" w:rsidP="0091517D">
      <w:pPr>
        <w:rPr>
          <w:b/>
          <w:color w:val="1F497D"/>
        </w:rPr>
      </w:pPr>
    </w:p>
    <w:p w:rsidR="00BD0CC9" w:rsidRPr="00B5286A" w:rsidRDefault="00BD0CC9" w:rsidP="0091517D">
      <w:pPr>
        <w:rPr>
          <w:b/>
          <w:color w:val="1F497D"/>
        </w:rPr>
      </w:pPr>
    </w:p>
    <w:p w:rsidR="007D0653" w:rsidRPr="00B5286A" w:rsidRDefault="00E320BB" w:rsidP="0091517D">
      <w:pPr>
        <w:rPr>
          <w:color w:val="1F497D"/>
        </w:rPr>
      </w:pPr>
      <w:r w:rsidRPr="00B5286A">
        <w:rPr>
          <w:b/>
          <w:color w:val="1F497D"/>
        </w:rPr>
        <w:t>Low barrier policy</w:t>
      </w:r>
    </w:p>
    <w:p w:rsidR="009B4E9A" w:rsidRPr="00B5286A" w:rsidRDefault="00B90A07" w:rsidP="009B4E9A">
      <w:pPr>
        <w:pStyle w:val="Body"/>
        <w:spacing w:after="0" w:line="240" w:lineRule="auto"/>
        <w:rPr>
          <w:rFonts w:asciiTheme="minorHAnsi" w:hAnsiTheme="minorHAnsi"/>
        </w:rPr>
      </w:pPr>
      <w:proofErr w:type="spellStart"/>
      <w:r w:rsidRPr="00B5286A">
        <w:rPr>
          <w:rFonts w:asciiTheme="minorHAnsi" w:hAnsiTheme="minorHAnsi"/>
        </w:rPr>
        <w:t>CoC</w:t>
      </w:r>
      <w:proofErr w:type="spellEnd"/>
      <w:r w:rsidRPr="00B5286A">
        <w:rPr>
          <w:rFonts w:asciiTheme="minorHAnsi" w:hAnsiTheme="minorHAnsi"/>
        </w:rPr>
        <w:t xml:space="preserve"> providers will make enrollment determinations on the basis of </w:t>
      </w:r>
      <w:r w:rsidR="005148C8" w:rsidRPr="00B5286A">
        <w:rPr>
          <w:rFonts w:asciiTheme="minorHAnsi" w:hAnsiTheme="minorHAnsi"/>
        </w:rPr>
        <w:t xml:space="preserve">limiting barriers to enrollment in services and housing.  No client may be turned away from </w:t>
      </w:r>
      <w:r w:rsidR="0070685F" w:rsidRPr="00B5286A">
        <w:rPr>
          <w:rFonts w:asciiTheme="minorHAnsi" w:hAnsiTheme="minorHAnsi"/>
        </w:rPr>
        <w:t xml:space="preserve">crisis response </w:t>
      </w:r>
      <w:r w:rsidR="005148C8" w:rsidRPr="00B5286A">
        <w:rPr>
          <w:rFonts w:asciiTheme="minorHAnsi" w:hAnsiTheme="minorHAnsi"/>
        </w:rPr>
        <w:t xml:space="preserve">services </w:t>
      </w:r>
      <w:r w:rsidR="009B4E9A" w:rsidRPr="00B5286A">
        <w:rPr>
          <w:rFonts w:asciiTheme="minorHAnsi" w:hAnsiTheme="minorHAnsi"/>
        </w:rPr>
        <w:t xml:space="preserve">or homeless designated housing </w:t>
      </w:r>
      <w:r w:rsidR="005148C8" w:rsidRPr="00B5286A">
        <w:rPr>
          <w:rFonts w:asciiTheme="minorHAnsi" w:hAnsiTheme="minorHAnsi"/>
        </w:rPr>
        <w:t xml:space="preserve">due to lack of income, </w:t>
      </w:r>
      <w:r w:rsidR="009B4E9A" w:rsidRPr="00B5286A">
        <w:rPr>
          <w:rFonts w:asciiTheme="minorHAnsi" w:hAnsiTheme="minorHAnsi"/>
        </w:rPr>
        <w:t xml:space="preserve">lack of </w:t>
      </w:r>
      <w:r w:rsidR="005148C8" w:rsidRPr="00B5286A">
        <w:rPr>
          <w:rFonts w:asciiTheme="minorHAnsi" w:hAnsiTheme="minorHAnsi"/>
        </w:rPr>
        <w:t xml:space="preserve">employment, disability status, or substance use unless the project’s </w:t>
      </w:r>
      <w:r w:rsidR="009B4E9A" w:rsidRPr="00B5286A">
        <w:rPr>
          <w:rFonts w:asciiTheme="minorHAnsi" w:hAnsiTheme="minorHAnsi"/>
        </w:rPr>
        <w:t xml:space="preserve">primary </w:t>
      </w:r>
      <w:r w:rsidR="005148C8" w:rsidRPr="00B5286A">
        <w:rPr>
          <w:rFonts w:asciiTheme="minorHAnsi" w:hAnsiTheme="minorHAnsi"/>
        </w:rPr>
        <w:t xml:space="preserve">funder </w:t>
      </w:r>
      <w:r w:rsidR="009B4E9A" w:rsidRPr="00B5286A">
        <w:rPr>
          <w:rFonts w:asciiTheme="minorHAnsi" w:hAnsiTheme="minorHAnsi"/>
        </w:rPr>
        <w:t xml:space="preserve">requires the exclusion or a previously existing and documented neighborhood covenant/good neighbor agreement </w:t>
      </w:r>
      <w:r w:rsidR="005148C8" w:rsidRPr="00B5286A">
        <w:rPr>
          <w:rFonts w:asciiTheme="minorHAnsi" w:hAnsiTheme="minorHAnsi"/>
        </w:rPr>
        <w:t xml:space="preserve">has explicitly limited enrollment to clients with </w:t>
      </w:r>
      <w:r w:rsidR="005B1AAB" w:rsidRPr="00B5286A">
        <w:rPr>
          <w:rFonts w:asciiTheme="minorHAnsi" w:hAnsiTheme="minorHAnsi"/>
        </w:rPr>
        <w:t xml:space="preserve">a </w:t>
      </w:r>
      <w:r w:rsidR="005148C8" w:rsidRPr="00B5286A">
        <w:rPr>
          <w:rFonts w:asciiTheme="minorHAnsi" w:hAnsiTheme="minorHAnsi"/>
        </w:rPr>
        <w:t xml:space="preserve">specific </w:t>
      </w:r>
      <w:r w:rsidR="005B1AAB" w:rsidRPr="00B5286A">
        <w:rPr>
          <w:rFonts w:asciiTheme="minorHAnsi" w:hAnsiTheme="minorHAnsi"/>
        </w:rPr>
        <w:t xml:space="preserve">set of </w:t>
      </w:r>
      <w:r w:rsidR="005148C8" w:rsidRPr="00B5286A">
        <w:rPr>
          <w:rFonts w:asciiTheme="minorHAnsi" w:hAnsiTheme="minorHAnsi"/>
        </w:rPr>
        <w:t xml:space="preserve">attributes or </w:t>
      </w:r>
      <w:proofErr w:type="spellStart"/>
      <w:r w:rsidR="005148C8" w:rsidRPr="00B5286A">
        <w:rPr>
          <w:rFonts w:asciiTheme="minorHAnsi" w:hAnsiTheme="minorHAnsi"/>
        </w:rPr>
        <w:t>characteristics.</w:t>
      </w:r>
      <w:r w:rsidR="009B4E9A" w:rsidRPr="00B5286A">
        <w:rPr>
          <w:rFonts w:asciiTheme="minorHAnsi" w:hAnsiTheme="minorHAnsi"/>
        </w:rPr>
        <w:t>Funders</w:t>
      </w:r>
      <w:proofErr w:type="spellEnd"/>
      <w:r w:rsidR="009B4E9A" w:rsidRPr="00B5286A">
        <w:rPr>
          <w:rFonts w:asciiTheme="minorHAnsi" w:hAnsiTheme="minorHAnsi"/>
        </w:rPr>
        <w:t xml:space="preserve"> restricting access to projects based on specific client attributes or characteristics will need to provide documentation to the </w:t>
      </w:r>
      <w:proofErr w:type="spellStart"/>
      <w:r w:rsidR="009B4E9A" w:rsidRPr="00B5286A">
        <w:rPr>
          <w:rFonts w:asciiTheme="minorHAnsi" w:hAnsiTheme="minorHAnsi"/>
        </w:rPr>
        <w:t>CoC</w:t>
      </w:r>
      <w:proofErr w:type="spellEnd"/>
      <w:r w:rsidR="009B4E9A" w:rsidRPr="00B5286A">
        <w:rPr>
          <w:rFonts w:asciiTheme="minorHAnsi" w:hAnsiTheme="minorHAnsi"/>
        </w:rPr>
        <w:t xml:space="preserve"> providing a justification for their enrollment policy. </w:t>
      </w:r>
    </w:p>
    <w:p w:rsidR="009B4E9A" w:rsidRPr="00B5286A" w:rsidRDefault="009B4E9A" w:rsidP="0091517D"/>
    <w:p w:rsidR="0091517D" w:rsidRPr="00B5286A" w:rsidRDefault="0070685F" w:rsidP="0091517D">
      <w:proofErr w:type="spellStart"/>
      <w:r w:rsidRPr="00B5286A">
        <w:t>CoC</w:t>
      </w:r>
      <w:proofErr w:type="spellEnd"/>
      <w:r w:rsidRPr="00B5286A">
        <w:t xml:space="preserve"> projects offering </w:t>
      </w:r>
      <w:r w:rsidR="00A87DD8" w:rsidRPr="00B5286A">
        <w:t>Prevention</w:t>
      </w:r>
      <w:r w:rsidRPr="00B5286A">
        <w:t xml:space="preserve"> and</w:t>
      </w:r>
      <w:r w:rsidR="00A87DD8" w:rsidRPr="00B5286A">
        <w:t>/or</w:t>
      </w:r>
      <w:r w:rsidRPr="00B5286A">
        <w:t xml:space="preserve"> Short-Term Rapid </w:t>
      </w:r>
      <w:proofErr w:type="spellStart"/>
      <w:r w:rsidR="00A87DD8" w:rsidRPr="00B5286A">
        <w:t>Rehousing</w:t>
      </w:r>
      <w:proofErr w:type="spellEnd"/>
      <w:r w:rsidR="00A87DD8" w:rsidRPr="00B5286A">
        <w:t xml:space="preserve"> assistance (i.e. 0 – </w:t>
      </w:r>
      <w:r w:rsidR="00046064" w:rsidRPr="00B5286A">
        <w:t>6</w:t>
      </w:r>
      <w:r w:rsidR="00A87DD8" w:rsidRPr="00B5286A">
        <w:t xml:space="preserve"> months of financial assistance) may choose to apply some income standards for their enrollment determinations.</w:t>
      </w:r>
    </w:p>
    <w:p w:rsidR="00B90A07" w:rsidRPr="00B5286A" w:rsidRDefault="00B90A07" w:rsidP="0091517D">
      <w:pPr>
        <w:rPr>
          <w:color w:val="1F497D"/>
        </w:rPr>
      </w:pPr>
    </w:p>
    <w:p w:rsidR="00046064" w:rsidRPr="00B5286A" w:rsidRDefault="00046064" w:rsidP="00046064">
      <w:pPr>
        <w:pStyle w:val="Body"/>
        <w:spacing w:after="0" w:line="240" w:lineRule="auto"/>
        <w:rPr>
          <w:rFonts w:asciiTheme="minorHAnsi" w:hAnsiTheme="minorHAnsi"/>
        </w:rPr>
      </w:pPr>
    </w:p>
    <w:p w:rsidR="00E320BB" w:rsidRPr="00B5286A" w:rsidRDefault="00E320BB" w:rsidP="0091517D">
      <w:pPr>
        <w:rPr>
          <w:color w:val="1F497D"/>
        </w:rPr>
      </w:pPr>
      <w:r w:rsidRPr="00B5286A">
        <w:rPr>
          <w:b/>
          <w:color w:val="1F497D"/>
        </w:rPr>
        <w:t>Fair and Equal Access</w:t>
      </w:r>
    </w:p>
    <w:p w:rsidR="00B90A07" w:rsidRPr="00B5286A" w:rsidRDefault="00B90A07" w:rsidP="0091517D">
      <w:r w:rsidRPr="00B5286A">
        <w:t xml:space="preserve">All </w:t>
      </w:r>
      <w:proofErr w:type="spellStart"/>
      <w:r w:rsidRPr="00B5286A">
        <w:t>CoCs</w:t>
      </w:r>
      <w:proofErr w:type="spellEnd"/>
      <w:r w:rsidRPr="00B5286A">
        <w:t xml:space="preserve"> will </w:t>
      </w:r>
      <w:r w:rsidR="007D0653" w:rsidRPr="00B5286A">
        <w:t>ensure fair and equal access to CES system programs and services</w:t>
      </w:r>
      <w:r w:rsidR="00853F5B" w:rsidRPr="00B5286A">
        <w:t xml:space="preserve"> for all clients regardless of actual or perceived race, color, religion, national origin, age, gender identity</w:t>
      </w:r>
      <w:r w:rsidR="00962D4C" w:rsidRPr="00B5286A">
        <w:t>,</w:t>
      </w:r>
      <w:r w:rsidR="00853F5B" w:rsidRPr="00B5286A">
        <w:t xml:space="preserve"> pregnancy, citizenship, familial status, household composition, disability, Veteran status, or sexual orientation</w:t>
      </w:r>
      <w:r w:rsidR="007D0653" w:rsidRPr="00B5286A">
        <w:t xml:space="preserve">.  </w:t>
      </w:r>
    </w:p>
    <w:p w:rsidR="0091517D" w:rsidRPr="00B5286A" w:rsidRDefault="00853F5B" w:rsidP="0091517D">
      <w:r w:rsidRPr="00B5286A">
        <w:t>I</w:t>
      </w:r>
      <w:r w:rsidR="008224B8" w:rsidRPr="00B5286A">
        <w:t xml:space="preserve">f </w:t>
      </w:r>
      <w:r w:rsidRPr="00B5286A">
        <w:t xml:space="preserve">an </w:t>
      </w:r>
      <w:proofErr w:type="spellStart"/>
      <w:r w:rsidRPr="00B5286A">
        <w:t>individual’s</w:t>
      </w:r>
      <w:r w:rsidR="002D3D62" w:rsidRPr="00B5286A">
        <w:t>self</w:t>
      </w:r>
      <w:proofErr w:type="spellEnd"/>
      <w:r w:rsidR="002D3D62" w:rsidRPr="00B5286A">
        <w:t>-identified gender or household composition creates challenging dynamics among residents within a facility</w:t>
      </w:r>
      <w:r w:rsidRPr="00B5286A">
        <w:t>, the host program should make every effort to accommodate the individual or assist in locating alternative accommodation that is appropriate and responsive to the individual’s needs</w:t>
      </w:r>
      <w:r w:rsidR="002D3D62" w:rsidRPr="00B5286A">
        <w:t xml:space="preserve">. </w:t>
      </w:r>
    </w:p>
    <w:p w:rsidR="002D3D62" w:rsidRPr="00B5286A" w:rsidRDefault="002D3D62" w:rsidP="0091517D"/>
    <w:p w:rsidR="007D0653" w:rsidRPr="00B5286A" w:rsidRDefault="009A39E5" w:rsidP="0091517D">
      <w:pPr>
        <w:rPr>
          <w:color w:val="1F497D"/>
        </w:rPr>
      </w:pPr>
      <w:r w:rsidRPr="00B5286A">
        <w:rPr>
          <w:b/>
          <w:color w:val="1F497D"/>
        </w:rPr>
        <w:t>Emergency services</w:t>
      </w:r>
    </w:p>
    <w:p w:rsidR="007D0653" w:rsidRPr="00B5286A" w:rsidRDefault="007D0653" w:rsidP="0091517D">
      <w:r w:rsidRPr="00B5286A">
        <w:t xml:space="preserve">Defined access points must provide </w:t>
      </w:r>
      <w:r w:rsidR="00A87DD8" w:rsidRPr="00B5286A">
        <w:t xml:space="preserve">directly </w:t>
      </w:r>
      <w:r w:rsidRPr="00B5286A">
        <w:t xml:space="preserve">or make arrangements through other means to ensure universal access to crisis response services for clients seeking emergency assistance at all hours of the day and all days of the year.  </w:t>
      </w:r>
      <w:r w:rsidR="00DD7C83" w:rsidRPr="00B5286A">
        <w:t xml:space="preserve">Each </w:t>
      </w:r>
      <w:proofErr w:type="spellStart"/>
      <w:r w:rsidR="00DD7C83" w:rsidRPr="00B5286A">
        <w:t>CoC</w:t>
      </w:r>
      <w:proofErr w:type="spellEnd"/>
      <w:r w:rsidR="00DD7C83" w:rsidRPr="00B5286A">
        <w:t xml:space="preserve"> mu</w:t>
      </w:r>
      <w:r w:rsidR="00853F5B" w:rsidRPr="00B5286A">
        <w:t>st document their planned after-</w:t>
      </w:r>
      <w:r w:rsidR="00DD7C83" w:rsidRPr="00B5286A">
        <w:t xml:space="preserve">hours emergency services approach.  </w:t>
      </w:r>
      <w:r w:rsidR="00AF46C4" w:rsidRPr="00B5286A">
        <w:t>After hours c</w:t>
      </w:r>
      <w:r w:rsidRPr="00B5286A">
        <w:t>risis response access may include telephone crisis hotline access</w:t>
      </w:r>
      <w:r w:rsidR="00AF46C4" w:rsidRPr="00B5286A">
        <w:t>, coordination with policy, emergency medical care</w:t>
      </w:r>
      <w:r w:rsidRPr="00B5286A">
        <w:t>.</w:t>
      </w:r>
    </w:p>
    <w:p w:rsidR="0091517D" w:rsidRPr="00B5286A" w:rsidRDefault="0091517D" w:rsidP="0091517D">
      <w:pPr>
        <w:rPr>
          <w:color w:val="1F497D"/>
        </w:rPr>
      </w:pPr>
    </w:p>
    <w:p w:rsidR="00AF46C4" w:rsidRPr="00B5286A" w:rsidRDefault="00AF46C4" w:rsidP="00AF46C4">
      <w:pPr>
        <w:rPr>
          <w:b/>
          <w:color w:val="1F497D"/>
        </w:rPr>
      </w:pPr>
      <w:r w:rsidRPr="00B5286A">
        <w:rPr>
          <w:b/>
          <w:color w:val="1F497D"/>
        </w:rPr>
        <w:t>Safety planning</w:t>
      </w:r>
    </w:p>
    <w:p w:rsidR="00AF46C4" w:rsidRPr="00B5286A" w:rsidRDefault="009A39E5" w:rsidP="00AF46C4">
      <w:r w:rsidRPr="00B5286A">
        <w:t xml:space="preserve">Each </w:t>
      </w:r>
      <w:proofErr w:type="spellStart"/>
      <w:r w:rsidRPr="00B5286A">
        <w:t>CoC</w:t>
      </w:r>
      <w:proofErr w:type="spellEnd"/>
      <w:r w:rsidRPr="00B5286A">
        <w:t xml:space="preserve"> must provide necessary safety and security protections for persons fleeing or attempting to flee family violence, stalking, dating violence</w:t>
      </w:r>
      <w:r w:rsidR="00853F5B" w:rsidRPr="00B5286A">
        <w:t>, or other domestic violence situations</w:t>
      </w:r>
      <w:r w:rsidRPr="00B5286A">
        <w:t>.</w:t>
      </w:r>
    </w:p>
    <w:p w:rsidR="00316897" w:rsidRPr="00B5286A" w:rsidRDefault="00316897" w:rsidP="00AF46C4">
      <w:pPr>
        <w:rPr>
          <w:color w:val="1F497D" w:themeColor="text2"/>
        </w:rPr>
      </w:pPr>
      <w:r w:rsidRPr="00B5286A">
        <w:rPr>
          <w:color w:val="1F497D" w:themeColor="text2"/>
          <w:highlight w:val="yellow"/>
        </w:rPr>
        <w:t xml:space="preserve">[Further details of this policy are pending review by </w:t>
      </w:r>
      <w:r w:rsidR="0005594D">
        <w:rPr>
          <w:color w:val="1F497D" w:themeColor="text2"/>
          <w:highlight w:val="yellow"/>
        </w:rPr>
        <w:t>safety</w:t>
      </w:r>
      <w:r w:rsidRPr="00B5286A">
        <w:rPr>
          <w:color w:val="1F497D" w:themeColor="text2"/>
          <w:highlight w:val="yellow"/>
        </w:rPr>
        <w:t xml:space="preserve"> advocates]</w:t>
      </w:r>
    </w:p>
    <w:p w:rsidR="00AF46C4" w:rsidRPr="00B5286A" w:rsidRDefault="00AF46C4" w:rsidP="0091517D">
      <w:pPr>
        <w:rPr>
          <w:color w:val="1F497D"/>
        </w:rPr>
      </w:pPr>
    </w:p>
    <w:p w:rsidR="007D0653" w:rsidRPr="00B5286A" w:rsidRDefault="00E320BB" w:rsidP="0091517D">
      <w:pPr>
        <w:rPr>
          <w:b/>
          <w:color w:val="1F497D"/>
        </w:rPr>
      </w:pPr>
      <w:r w:rsidRPr="00B5286A">
        <w:rPr>
          <w:b/>
          <w:color w:val="1F497D"/>
        </w:rPr>
        <w:t>Standardized access and assessment</w:t>
      </w:r>
    </w:p>
    <w:p w:rsidR="00AD46FF" w:rsidRPr="00B5286A" w:rsidRDefault="007D0653" w:rsidP="00AD46FF">
      <w:r w:rsidRPr="00B5286A">
        <w:t>All defined access point providers must administer the Minnesota Coordinated Entry System (CES) Assessment Process</w:t>
      </w:r>
      <w:r w:rsidR="00AD46FF" w:rsidRPr="00B5286A">
        <w:t xml:space="preserve"> as defined by the Interim Decision Group</w:t>
      </w:r>
      <w:r w:rsidRPr="00B5286A">
        <w:t xml:space="preserve">.  </w:t>
      </w:r>
      <w:r w:rsidR="00AD46FF" w:rsidRPr="00B5286A">
        <w:t>The assessment process must be standardized</w:t>
      </w:r>
      <w:r w:rsidR="00014612" w:rsidRPr="00B5286A">
        <w:t xml:space="preserve"> across each participating </w:t>
      </w:r>
      <w:proofErr w:type="spellStart"/>
      <w:r w:rsidR="00014612" w:rsidRPr="00B5286A">
        <w:t>CoC</w:t>
      </w:r>
      <w:proofErr w:type="spellEnd"/>
      <w:r w:rsidR="00AD46FF" w:rsidRPr="00B5286A">
        <w:t>, with uniform decision-making across all assessment locations and staff.  If access points or assessment processes are conducted or managed by providers who do not receive HUD, State of Minnesota, or local county funds, those providers must still abide by assessment standards and protocols defined by the CoC.</w:t>
      </w:r>
      <w:r w:rsidR="00DA702E">
        <w:t xml:space="preserve">CES will operate using a client-centered approach, allowing clients to freely refuse to answer assessment questions and/or refuse referrals.  </w:t>
      </w:r>
    </w:p>
    <w:p w:rsidR="007D0653" w:rsidRPr="00B5286A" w:rsidRDefault="007D0653" w:rsidP="0091517D"/>
    <w:p w:rsidR="00AD46FF" w:rsidRPr="00B5286A" w:rsidRDefault="00AD46FF" w:rsidP="00AC1F28">
      <w:pPr>
        <w:rPr>
          <w:b/>
          <w:color w:val="1F497D" w:themeColor="text2"/>
        </w:rPr>
      </w:pPr>
      <w:r w:rsidRPr="00B5286A">
        <w:rPr>
          <w:b/>
          <w:color w:val="1F497D" w:themeColor="text2"/>
        </w:rPr>
        <w:lastRenderedPageBreak/>
        <w:t>Referral criteria</w:t>
      </w:r>
    </w:p>
    <w:p w:rsidR="00952993" w:rsidRDefault="00AC1F28" w:rsidP="00AC1F28">
      <w:r w:rsidRPr="00B5286A">
        <w:t>All</w:t>
      </w:r>
      <w:r w:rsidR="00AD3140" w:rsidRPr="00B5286A">
        <w:t xml:space="preserve"> </w:t>
      </w:r>
      <w:proofErr w:type="spellStart"/>
      <w:r w:rsidR="00AD3140" w:rsidRPr="00B5286A">
        <w:t>CoC</w:t>
      </w:r>
      <w:r w:rsidRPr="00B5286A">
        <w:t>smust</w:t>
      </w:r>
      <w:proofErr w:type="spellEnd"/>
      <w:r w:rsidRPr="00B5286A">
        <w:t xml:space="preserve"> define referral criteria for all projects within the </w:t>
      </w:r>
      <w:proofErr w:type="spellStart"/>
      <w:r w:rsidRPr="00B5286A">
        <w:t>CoC’s</w:t>
      </w:r>
      <w:proofErr w:type="spellEnd"/>
      <w:r w:rsidRPr="00B5286A">
        <w:t xml:space="preserve"> geographic area.  Referral criteria must identify all the eligibility and exclusionary criteria used by program staff to make enrollment determinations for referred persons or households.  </w:t>
      </w:r>
      <w:r w:rsidR="00845138" w:rsidRPr="00B5286A">
        <w:t xml:space="preserve">Established guidelines must describe acceptable time frames for reviewing and communicating </w:t>
      </w:r>
      <w:r w:rsidR="008551C0" w:rsidRPr="00B5286A">
        <w:t xml:space="preserve">referral </w:t>
      </w:r>
      <w:r w:rsidR="00845138" w:rsidRPr="00B5286A">
        <w:t xml:space="preserve">decisions </w:t>
      </w:r>
      <w:r w:rsidR="008551C0" w:rsidRPr="00B5286A">
        <w:t xml:space="preserve">(i.e. whether the potential program participant is either accepted or denied enrollment). If a potential client is not offered enrollment, the reason for rejection must be clearly communicated and documented in </w:t>
      </w:r>
      <w:proofErr w:type="spellStart"/>
      <w:r w:rsidR="008551C0" w:rsidRPr="00B5286A">
        <w:t>HMIS.</w:t>
      </w:r>
      <w:r w:rsidRPr="00B5286A">
        <w:t>The</w:t>
      </w:r>
      <w:proofErr w:type="spellEnd"/>
      <w:r w:rsidRPr="00B5286A">
        <w:t xml:space="preserve"> referral criteria must b</w:t>
      </w:r>
      <w:r w:rsidR="00962D4C" w:rsidRPr="00B5286A">
        <w:t>e</w:t>
      </w:r>
      <w:r w:rsidRPr="00B5286A">
        <w:t xml:space="preserve"> published at least annually and support the identification of and connection to appropriate housing and services for all assessed clients.  </w:t>
      </w:r>
    </w:p>
    <w:p w:rsidR="00DA702E" w:rsidRDefault="00DA702E" w:rsidP="00AC1F28"/>
    <w:p w:rsidR="0091517D" w:rsidRPr="00B5286A" w:rsidRDefault="0091517D" w:rsidP="00AC1F28">
      <w:pPr>
        <w:rPr>
          <w:color w:val="1F497D"/>
        </w:rPr>
      </w:pPr>
    </w:p>
    <w:p w:rsidR="00533B81" w:rsidRPr="00B5286A" w:rsidRDefault="00533B81" w:rsidP="00AC1F28">
      <w:pPr>
        <w:rPr>
          <w:color w:val="1F497D"/>
        </w:rPr>
      </w:pPr>
      <w:proofErr w:type="spellStart"/>
      <w:r w:rsidRPr="00B5286A">
        <w:rPr>
          <w:b/>
          <w:color w:val="1F497D"/>
        </w:rPr>
        <w:t>ReferralProcess</w:t>
      </w:r>
      <w:proofErr w:type="spellEnd"/>
    </w:p>
    <w:p w:rsidR="00533B81" w:rsidRPr="00B5286A" w:rsidRDefault="00533B81" w:rsidP="00AC1F28">
      <w:proofErr w:type="spellStart"/>
      <w:r w:rsidRPr="00B5286A">
        <w:t>CoCs</w:t>
      </w:r>
      <w:proofErr w:type="spellEnd"/>
      <w:r w:rsidRPr="00B5286A">
        <w:t xml:space="preserve"> must establish written protocols for referrals that explicitly identify the VI-SPDAT score or score range associated with referrals to each </w:t>
      </w:r>
      <w:proofErr w:type="spellStart"/>
      <w:r w:rsidRPr="00B5286A">
        <w:t>CoC</w:t>
      </w:r>
      <w:proofErr w:type="spellEnd"/>
      <w:r w:rsidRPr="00B5286A">
        <w:t xml:space="preserve"> component type including PSH, TH, RRH, and self-resolve strategies.  </w:t>
      </w:r>
      <w:r w:rsidR="00DA702E">
        <w:t xml:space="preserve">Clients must be provided the ability to enroll in </w:t>
      </w:r>
      <w:proofErr w:type="spellStart"/>
      <w:r w:rsidR="00DA702E">
        <w:t>CoC</w:t>
      </w:r>
      <w:proofErr w:type="spellEnd"/>
      <w:r w:rsidR="00DA702E">
        <w:t xml:space="preserve"> component types that are less intensive, but not more intensive, than the CES referral choice offered. </w:t>
      </w:r>
      <w:r w:rsidRPr="00B5286A">
        <w:t xml:space="preserve">The applicability and accuracy of VI-SPDAT score ranges will be assessed and updated annually by each </w:t>
      </w:r>
      <w:proofErr w:type="spellStart"/>
      <w:r w:rsidRPr="00B5286A">
        <w:t>CoC</w:t>
      </w:r>
      <w:proofErr w:type="spellEnd"/>
      <w:r w:rsidRPr="00B5286A">
        <w:t xml:space="preserve"> based on analysis of actual score prevalence rates and available </w:t>
      </w:r>
      <w:proofErr w:type="spellStart"/>
      <w:r w:rsidRPr="00B5286A">
        <w:t>CoC</w:t>
      </w:r>
      <w:proofErr w:type="spellEnd"/>
      <w:r w:rsidRPr="00B5286A">
        <w:t xml:space="preserve"> inventory.</w:t>
      </w:r>
    </w:p>
    <w:p w:rsidR="00DA702E" w:rsidRDefault="00DA702E" w:rsidP="00DA702E"/>
    <w:p w:rsidR="00DA702E" w:rsidRDefault="00DA702E" w:rsidP="00DA702E">
      <w:r>
        <w:t>When offering referral options to clients, the following information shall be provided:</w:t>
      </w:r>
    </w:p>
    <w:p w:rsidR="00DA702E" w:rsidRDefault="00DA702E" w:rsidP="00DA702E">
      <w:pPr>
        <w:pStyle w:val="ListParagraph"/>
        <w:numPr>
          <w:ilvl w:val="0"/>
          <w:numId w:val="25"/>
        </w:numPr>
      </w:pPr>
      <w:r>
        <w:t xml:space="preserve">information about the referred housing providers and housing types using resources such as web pages, </w:t>
      </w:r>
      <w:proofErr w:type="spellStart"/>
      <w:r>
        <w:t>CoC</w:t>
      </w:r>
      <w:proofErr w:type="spellEnd"/>
      <w:r>
        <w:t xml:space="preserve"> inventory information, and HB101</w:t>
      </w:r>
    </w:p>
    <w:p w:rsidR="00DA702E" w:rsidRDefault="00DA702E" w:rsidP="00DA702E">
      <w:pPr>
        <w:pStyle w:val="ListParagraph"/>
        <w:numPr>
          <w:ilvl w:val="0"/>
          <w:numId w:val="25"/>
        </w:numPr>
      </w:pPr>
      <w:r>
        <w:t>Referral Rejection Policy</w:t>
      </w:r>
    </w:p>
    <w:p w:rsidR="00DA702E" w:rsidRDefault="00DA702E" w:rsidP="00DA702E">
      <w:pPr>
        <w:pStyle w:val="ListParagraph"/>
        <w:numPr>
          <w:ilvl w:val="0"/>
          <w:numId w:val="25"/>
        </w:numPr>
      </w:pPr>
      <w:r>
        <w:t>Right to choose options less intensive than the CES referral</w:t>
      </w:r>
    </w:p>
    <w:p w:rsidR="00DA702E" w:rsidRDefault="00DA702E" w:rsidP="00DA702E">
      <w:pPr>
        <w:pStyle w:val="ListParagraph"/>
        <w:numPr>
          <w:ilvl w:val="0"/>
          <w:numId w:val="25"/>
        </w:numPr>
      </w:pPr>
      <w:r>
        <w:t>Planning resources (e.g. HB101, DB101, DLL)</w:t>
      </w:r>
    </w:p>
    <w:p w:rsidR="00AC1F28" w:rsidRPr="00B5286A" w:rsidRDefault="00AC1F28" w:rsidP="0091517D">
      <w:pPr>
        <w:rPr>
          <w:b/>
          <w:color w:val="1F497D"/>
        </w:rPr>
      </w:pPr>
    </w:p>
    <w:p w:rsidR="00AD46FF" w:rsidRPr="00B5286A" w:rsidRDefault="00AD46FF" w:rsidP="0091517D">
      <w:pPr>
        <w:rPr>
          <w:b/>
          <w:color w:val="1F497D"/>
        </w:rPr>
      </w:pPr>
      <w:r w:rsidRPr="00B5286A">
        <w:rPr>
          <w:b/>
          <w:color w:val="1F497D"/>
        </w:rPr>
        <w:t>Inclusivity of subpopulations</w:t>
      </w:r>
    </w:p>
    <w:p w:rsidR="00AD46FF" w:rsidRPr="00B5286A" w:rsidRDefault="00AD46FF" w:rsidP="0091517D">
      <w:r w:rsidRPr="00B5286A">
        <w:t xml:space="preserve">All subpopulations including chronically homeless individuals and families, Veterans, youth, persons and households fleeing domestic violence, transgendered persons must be provided access to </w:t>
      </w:r>
      <w:proofErr w:type="spellStart"/>
      <w:r w:rsidRPr="00B5286A">
        <w:t>CoC</w:t>
      </w:r>
      <w:proofErr w:type="spellEnd"/>
      <w:r w:rsidRPr="00B5286A">
        <w:t xml:space="preserve"> crisis response services independent of the characteristics and attributes of their specific subpopulations.</w:t>
      </w:r>
    </w:p>
    <w:p w:rsidR="00257F2E" w:rsidRPr="00B5286A" w:rsidRDefault="00257F2E" w:rsidP="0091517D">
      <w:pPr>
        <w:rPr>
          <w:color w:val="1F497D"/>
        </w:rPr>
      </w:pPr>
    </w:p>
    <w:p w:rsidR="00257F2E" w:rsidRPr="00B5286A" w:rsidRDefault="00E320BB" w:rsidP="0091517D">
      <w:pPr>
        <w:rPr>
          <w:b/>
          <w:color w:val="1F497D"/>
        </w:rPr>
      </w:pPr>
      <w:r w:rsidRPr="00B5286A">
        <w:rPr>
          <w:b/>
          <w:color w:val="1F497D"/>
        </w:rPr>
        <w:t xml:space="preserve">Referral </w:t>
      </w:r>
      <w:r w:rsidR="00257F2E" w:rsidRPr="00B5286A">
        <w:rPr>
          <w:b/>
          <w:color w:val="1F497D"/>
        </w:rPr>
        <w:t>R</w:t>
      </w:r>
      <w:r w:rsidRPr="00B5286A">
        <w:rPr>
          <w:b/>
          <w:color w:val="1F497D"/>
        </w:rPr>
        <w:t>ejection</w:t>
      </w:r>
      <w:r w:rsidR="00257F2E" w:rsidRPr="00B5286A">
        <w:rPr>
          <w:b/>
          <w:color w:val="1F497D"/>
        </w:rPr>
        <w:t xml:space="preserve"> Policy</w:t>
      </w:r>
    </w:p>
    <w:p w:rsidR="00257F2E" w:rsidRPr="00B5286A" w:rsidRDefault="00DA702E" w:rsidP="0091517D">
      <w:pPr>
        <w:rPr>
          <w:rFonts w:cs="Arial"/>
        </w:rPr>
      </w:pPr>
      <w:r>
        <w:rPr>
          <w:rFonts w:cs="Arial"/>
        </w:rPr>
        <w:t xml:space="preserve">Both </w:t>
      </w:r>
      <w:proofErr w:type="spellStart"/>
      <w:r w:rsidR="00257F2E" w:rsidRPr="00B5286A">
        <w:rPr>
          <w:rFonts w:cs="Arial"/>
        </w:rPr>
        <w:t>CoC</w:t>
      </w:r>
      <w:proofErr w:type="spellEnd"/>
      <w:r w:rsidR="00257F2E" w:rsidRPr="00B5286A">
        <w:rPr>
          <w:rFonts w:cs="Arial"/>
        </w:rPr>
        <w:t xml:space="preserve"> providers </w:t>
      </w:r>
      <w:r>
        <w:rPr>
          <w:rFonts w:cs="Arial"/>
        </w:rPr>
        <w:t xml:space="preserve">and program participants </w:t>
      </w:r>
      <w:r w:rsidR="00257F2E" w:rsidRPr="00B5286A">
        <w:rPr>
          <w:rFonts w:cs="Arial"/>
        </w:rPr>
        <w:t>may</w:t>
      </w:r>
      <w:r w:rsidR="00533B81" w:rsidRPr="00B5286A">
        <w:rPr>
          <w:rFonts w:cs="Arial"/>
        </w:rPr>
        <w:t xml:space="preserve"> </w:t>
      </w:r>
      <w:proofErr w:type="spellStart"/>
      <w:r w:rsidR="00533B81" w:rsidRPr="00B5286A">
        <w:rPr>
          <w:rFonts w:cs="Arial"/>
        </w:rPr>
        <w:t>deny</w:t>
      </w:r>
      <w:r w:rsidR="00853F5B" w:rsidRPr="00B5286A">
        <w:rPr>
          <w:rFonts w:cs="Arial"/>
        </w:rPr>
        <w:t>or</w:t>
      </w:r>
      <w:proofErr w:type="spellEnd"/>
      <w:r w:rsidR="00853F5B" w:rsidRPr="00B5286A">
        <w:rPr>
          <w:rFonts w:cs="Arial"/>
        </w:rPr>
        <w:t xml:space="preserve"> reject </w:t>
      </w:r>
      <w:r w:rsidR="00B762A5" w:rsidRPr="00B5286A">
        <w:rPr>
          <w:rFonts w:cs="Arial"/>
        </w:rPr>
        <w:t xml:space="preserve">referrals </w:t>
      </w:r>
      <w:r>
        <w:rPr>
          <w:rFonts w:cs="Arial"/>
        </w:rPr>
        <w:t>from</w:t>
      </w:r>
      <w:r w:rsidR="00853F5B" w:rsidRPr="00B5286A">
        <w:rPr>
          <w:rFonts w:cs="Arial"/>
        </w:rPr>
        <w:t xml:space="preserve"> the defined CES access point, although service denials should be infrequent and must be documented in HMIS or other comparable system with specific justification as prescribed by the </w:t>
      </w:r>
      <w:proofErr w:type="spellStart"/>
      <w:r w:rsidR="00853F5B" w:rsidRPr="00B5286A">
        <w:rPr>
          <w:rFonts w:cs="Arial"/>
        </w:rPr>
        <w:t>CoC</w:t>
      </w:r>
      <w:proofErr w:type="spellEnd"/>
      <w:r w:rsidR="00B762A5" w:rsidRPr="00B5286A">
        <w:rPr>
          <w:rFonts w:cs="Arial"/>
        </w:rPr>
        <w:t xml:space="preserve">.  The specific allowable criteria for denying a referral must be established by the </w:t>
      </w:r>
      <w:proofErr w:type="spellStart"/>
      <w:r w:rsidR="00B762A5" w:rsidRPr="00B5286A">
        <w:rPr>
          <w:rFonts w:cs="Arial"/>
        </w:rPr>
        <w:t>CoC</w:t>
      </w:r>
      <w:proofErr w:type="spellEnd"/>
      <w:r w:rsidR="00AD3140" w:rsidRPr="00B5286A">
        <w:rPr>
          <w:rFonts w:cs="Arial"/>
        </w:rPr>
        <w:t xml:space="preserve">, </w:t>
      </w:r>
      <w:r>
        <w:rPr>
          <w:rFonts w:cs="Arial"/>
        </w:rPr>
        <w:t xml:space="preserve">must be shared with each project and client, </w:t>
      </w:r>
      <w:r w:rsidR="00AC1F28" w:rsidRPr="00B5286A">
        <w:rPr>
          <w:rFonts w:cs="Arial"/>
        </w:rPr>
        <w:t xml:space="preserve">and be </w:t>
      </w:r>
      <w:r w:rsidR="00AD3140" w:rsidRPr="00B5286A">
        <w:rPr>
          <w:rFonts w:cs="Arial"/>
        </w:rPr>
        <w:t>reviewed</w:t>
      </w:r>
      <w:r w:rsidR="00B762A5" w:rsidRPr="00B5286A">
        <w:rPr>
          <w:rFonts w:cs="Arial"/>
        </w:rPr>
        <w:t xml:space="preserve"> and updated annually.  </w:t>
      </w:r>
      <w:r w:rsidR="00014612" w:rsidRPr="00B5286A">
        <w:rPr>
          <w:rFonts w:cs="Arial"/>
        </w:rPr>
        <w:t xml:space="preserve">All </w:t>
      </w:r>
      <w:r w:rsidR="00871B50" w:rsidRPr="00B5286A">
        <w:rPr>
          <w:rFonts w:cs="Arial"/>
        </w:rPr>
        <w:t>participating</w:t>
      </w:r>
      <w:r w:rsidR="00014612" w:rsidRPr="00B5286A">
        <w:rPr>
          <w:rFonts w:cs="Arial"/>
        </w:rPr>
        <w:t xml:space="preserve"> </w:t>
      </w:r>
      <w:proofErr w:type="spellStart"/>
      <w:r w:rsidR="00014612" w:rsidRPr="00B5286A">
        <w:rPr>
          <w:rFonts w:cs="Arial"/>
        </w:rPr>
        <w:t>project</w:t>
      </w:r>
      <w:r w:rsidR="00871B50" w:rsidRPr="00B5286A">
        <w:rPr>
          <w:rFonts w:cs="Arial"/>
        </w:rPr>
        <w:t>s</w:t>
      </w:r>
      <w:r>
        <w:rPr>
          <w:rFonts w:cs="Arial"/>
        </w:rPr>
        <w:t>and</w:t>
      </w:r>
      <w:proofErr w:type="spellEnd"/>
      <w:r>
        <w:rPr>
          <w:rFonts w:cs="Arial"/>
        </w:rPr>
        <w:t xml:space="preserve"> client </w:t>
      </w:r>
      <w:r w:rsidR="00014612" w:rsidRPr="00B5286A">
        <w:rPr>
          <w:rFonts w:cs="Arial"/>
        </w:rPr>
        <w:t>must provide the reason for service denial</w:t>
      </w:r>
      <w:r>
        <w:rPr>
          <w:rFonts w:cs="Arial"/>
        </w:rPr>
        <w:t>, and may be subject to a limit on number of service denials</w:t>
      </w:r>
      <w:r w:rsidR="00014612" w:rsidRPr="00B5286A">
        <w:rPr>
          <w:rFonts w:cs="Arial"/>
        </w:rPr>
        <w:t xml:space="preserve">.  </w:t>
      </w:r>
      <w:r w:rsidR="00AD3140" w:rsidRPr="00B5286A">
        <w:rPr>
          <w:rFonts w:cs="Arial"/>
        </w:rPr>
        <w:t>Aggregate c</w:t>
      </w:r>
      <w:r w:rsidR="00853F5B" w:rsidRPr="00B5286A">
        <w:rPr>
          <w:rFonts w:cs="Arial"/>
        </w:rPr>
        <w:t>ounts of s</w:t>
      </w:r>
      <w:r w:rsidR="00014612" w:rsidRPr="00B5286A">
        <w:rPr>
          <w:rFonts w:cs="Arial"/>
        </w:rPr>
        <w:t>ervice denial</w:t>
      </w:r>
      <w:r w:rsidR="00AD3140" w:rsidRPr="00B5286A">
        <w:rPr>
          <w:rFonts w:cs="Arial"/>
        </w:rPr>
        <w:t>s, categorized by reason for denial,</w:t>
      </w:r>
      <w:r w:rsidR="00014612" w:rsidRPr="00B5286A">
        <w:rPr>
          <w:rFonts w:cs="Arial"/>
        </w:rPr>
        <w:t xml:space="preserve"> m</w:t>
      </w:r>
      <w:r w:rsidR="004E12E9" w:rsidRPr="00B5286A">
        <w:rPr>
          <w:rFonts w:cs="Arial"/>
        </w:rPr>
        <w:t xml:space="preserve">ust be reported </w:t>
      </w:r>
      <w:r w:rsidR="00AD3140" w:rsidRPr="00B5286A">
        <w:rPr>
          <w:rFonts w:cs="Arial"/>
        </w:rPr>
        <w:t xml:space="preserve">by the </w:t>
      </w:r>
      <w:proofErr w:type="spellStart"/>
      <w:r w:rsidR="00AD3140" w:rsidRPr="00B5286A">
        <w:rPr>
          <w:rFonts w:cs="Arial"/>
        </w:rPr>
        <w:t>CoC</w:t>
      </w:r>
      <w:proofErr w:type="spellEnd"/>
      <w:r w:rsidR="00AD3140" w:rsidRPr="00B5286A">
        <w:rPr>
          <w:rFonts w:cs="Arial"/>
        </w:rPr>
        <w:t xml:space="preserve"> </w:t>
      </w:r>
      <w:r w:rsidR="00853F5B" w:rsidRPr="00B5286A">
        <w:rPr>
          <w:rFonts w:cs="Arial"/>
        </w:rPr>
        <w:t>annually.</w:t>
      </w:r>
    </w:p>
    <w:p w:rsidR="00BD0CC9" w:rsidRPr="00B5286A" w:rsidRDefault="00BD0CC9" w:rsidP="0091517D">
      <w:pPr>
        <w:rPr>
          <w:rFonts w:cs="Arial"/>
        </w:rPr>
      </w:pPr>
    </w:p>
    <w:p w:rsidR="00BD0CC9" w:rsidRPr="00B957E1" w:rsidRDefault="00BD0CC9" w:rsidP="0091517D">
      <w:pPr>
        <w:rPr>
          <w:rFonts w:cs="Arial"/>
        </w:rPr>
      </w:pPr>
      <w:r w:rsidRPr="00B957E1">
        <w:rPr>
          <w:rFonts w:cs="Arial"/>
        </w:rPr>
        <w:t>At a minimum</w:t>
      </w:r>
      <w:r w:rsidR="00DA702E">
        <w:rPr>
          <w:rFonts w:cs="Arial"/>
        </w:rPr>
        <w:t>, project’s</w:t>
      </w:r>
      <w:r w:rsidRPr="00B957E1">
        <w:rPr>
          <w:rFonts w:cs="Arial"/>
        </w:rPr>
        <w:t xml:space="preserve"> referral rejection/denial reasons must include the following:</w:t>
      </w:r>
    </w:p>
    <w:p w:rsidR="002A2A32" w:rsidRPr="00B957E1" w:rsidRDefault="002A2A32" w:rsidP="002A2A32">
      <w:pPr>
        <w:pStyle w:val="ListParagraph"/>
        <w:numPr>
          <w:ilvl w:val="0"/>
          <w:numId w:val="8"/>
        </w:numPr>
        <w:rPr>
          <w:rFonts w:asciiTheme="minorHAnsi" w:hAnsiTheme="minorHAnsi" w:cs="Arial"/>
        </w:rPr>
      </w:pPr>
      <w:r w:rsidRPr="00B957E1">
        <w:rPr>
          <w:rFonts w:asciiTheme="minorHAnsi" w:hAnsiTheme="minorHAnsi" w:cs="Arial"/>
        </w:rPr>
        <w:t>Client/household refused further participation</w:t>
      </w:r>
      <w:r w:rsidR="00B5286A" w:rsidRPr="00B957E1">
        <w:rPr>
          <w:rFonts w:asciiTheme="minorHAnsi" w:hAnsiTheme="minorHAnsi" w:cs="Arial"/>
        </w:rPr>
        <w:t xml:space="preserve"> (</w:t>
      </w:r>
      <w:r w:rsidR="00BC4E14" w:rsidRPr="00B957E1">
        <w:rPr>
          <w:rFonts w:asciiTheme="minorHAnsi" w:hAnsiTheme="minorHAnsi" w:cs="Arial"/>
        </w:rPr>
        <w:t xml:space="preserve">or client moved out of </w:t>
      </w:r>
      <w:proofErr w:type="spellStart"/>
      <w:r w:rsidR="00BC4E14" w:rsidRPr="00B957E1">
        <w:rPr>
          <w:rFonts w:asciiTheme="minorHAnsi" w:hAnsiTheme="minorHAnsi" w:cs="Arial"/>
        </w:rPr>
        <w:t>CoC</w:t>
      </w:r>
      <w:proofErr w:type="spellEnd"/>
      <w:r w:rsidR="00BC4E14" w:rsidRPr="00B957E1">
        <w:rPr>
          <w:rFonts w:asciiTheme="minorHAnsi" w:hAnsiTheme="minorHAnsi" w:cs="Arial"/>
        </w:rPr>
        <w:t xml:space="preserve"> area)</w:t>
      </w:r>
    </w:p>
    <w:p w:rsidR="002A2A32" w:rsidRPr="00B957E1" w:rsidRDefault="002A2A32" w:rsidP="002A2A32">
      <w:pPr>
        <w:pStyle w:val="ListParagraph"/>
        <w:numPr>
          <w:ilvl w:val="0"/>
          <w:numId w:val="8"/>
        </w:numPr>
        <w:rPr>
          <w:rFonts w:asciiTheme="minorHAnsi" w:hAnsiTheme="minorHAnsi" w:cs="Arial"/>
        </w:rPr>
      </w:pPr>
      <w:r w:rsidRPr="00B957E1">
        <w:rPr>
          <w:rFonts w:asciiTheme="minorHAnsi" w:hAnsiTheme="minorHAnsi" w:cs="Arial"/>
        </w:rPr>
        <w:t xml:space="preserve">Client/household does not meet </w:t>
      </w:r>
      <w:r w:rsidR="00BC4E14" w:rsidRPr="00B957E1">
        <w:rPr>
          <w:rFonts w:asciiTheme="minorHAnsi" w:hAnsiTheme="minorHAnsi" w:cs="Arial"/>
        </w:rPr>
        <w:t>required</w:t>
      </w:r>
      <w:r w:rsidRPr="00B957E1">
        <w:rPr>
          <w:rFonts w:asciiTheme="minorHAnsi" w:hAnsiTheme="minorHAnsi" w:cs="Arial"/>
        </w:rPr>
        <w:t xml:space="preserve"> criteria for program eligibility</w:t>
      </w:r>
    </w:p>
    <w:p w:rsidR="002A2A32" w:rsidRPr="00B957E1" w:rsidRDefault="002A2A32" w:rsidP="002A2A32">
      <w:pPr>
        <w:pStyle w:val="ListParagraph"/>
        <w:numPr>
          <w:ilvl w:val="0"/>
          <w:numId w:val="8"/>
        </w:numPr>
        <w:rPr>
          <w:rFonts w:asciiTheme="minorHAnsi" w:hAnsiTheme="minorHAnsi" w:cs="Arial"/>
        </w:rPr>
      </w:pPr>
      <w:r w:rsidRPr="00B957E1">
        <w:rPr>
          <w:rFonts w:asciiTheme="minorHAnsi" w:hAnsiTheme="minorHAnsi" w:cs="Arial"/>
        </w:rPr>
        <w:t xml:space="preserve">Client/household unresponsive to </w:t>
      </w:r>
      <w:r w:rsidR="00B957E1" w:rsidRPr="00B957E1">
        <w:rPr>
          <w:rFonts w:asciiTheme="minorHAnsi" w:hAnsiTheme="minorHAnsi" w:cs="Arial"/>
        </w:rPr>
        <w:t xml:space="preserve">multiple </w:t>
      </w:r>
      <w:r w:rsidRPr="00B957E1">
        <w:rPr>
          <w:rFonts w:asciiTheme="minorHAnsi" w:hAnsiTheme="minorHAnsi" w:cs="Arial"/>
        </w:rPr>
        <w:t>communication</w:t>
      </w:r>
      <w:r w:rsidR="00B957E1" w:rsidRPr="00B957E1">
        <w:rPr>
          <w:rFonts w:asciiTheme="minorHAnsi" w:hAnsiTheme="minorHAnsi" w:cs="Arial"/>
        </w:rPr>
        <w:t xml:space="preserve"> attempts</w:t>
      </w:r>
    </w:p>
    <w:p w:rsidR="002A2A32" w:rsidRPr="00B957E1" w:rsidRDefault="002A2A32" w:rsidP="002A2A32">
      <w:pPr>
        <w:pStyle w:val="ListParagraph"/>
        <w:numPr>
          <w:ilvl w:val="0"/>
          <w:numId w:val="8"/>
        </w:numPr>
        <w:rPr>
          <w:rFonts w:asciiTheme="minorHAnsi" w:hAnsiTheme="minorHAnsi" w:cs="Arial"/>
        </w:rPr>
      </w:pPr>
      <w:r w:rsidRPr="00B957E1">
        <w:rPr>
          <w:rFonts w:asciiTheme="minorHAnsi" w:hAnsiTheme="minorHAnsi" w:cs="Arial"/>
        </w:rPr>
        <w:t>Client resolved crisis without assistance</w:t>
      </w:r>
    </w:p>
    <w:p w:rsidR="00DA702E" w:rsidRPr="00B957E1" w:rsidRDefault="00DA702E" w:rsidP="00DA702E">
      <w:pPr>
        <w:pStyle w:val="ListParagraph"/>
        <w:numPr>
          <w:ilvl w:val="0"/>
          <w:numId w:val="8"/>
        </w:numPr>
        <w:rPr>
          <w:rFonts w:asciiTheme="minorHAnsi" w:hAnsiTheme="minorHAnsi" w:cs="Arial"/>
        </w:rPr>
      </w:pPr>
      <w:r w:rsidRPr="00B957E1">
        <w:rPr>
          <w:rFonts w:asciiTheme="minorHAnsi" w:hAnsiTheme="minorHAnsi" w:cs="Arial"/>
        </w:rPr>
        <w:lastRenderedPageBreak/>
        <w:t>Client/household safety concerns.  The client’s/household’s health or well-being or the safety of current program participants would be negatively impacted due to staffing, location, or other programmatic issues</w:t>
      </w:r>
      <w:r>
        <w:rPr>
          <w:rFonts w:asciiTheme="minorHAnsi" w:hAnsiTheme="minorHAnsi" w:cs="Arial"/>
        </w:rPr>
        <w:t>.</w:t>
      </w:r>
    </w:p>
    <w:p w:rsidR="00DA702E" w:rsidRPr="00B957E1" w:rsidRDefault="00DA702E" w:rsidP="00DA702E">
      <w:pPr>
        <w:pStyle w:val="ListParagraph"/>
        <w:numPr>
          <w:ilvl w:val="0"/>
          <w:numId w:val="8"/>
        </w:numPr>
        <w:rPr>
          <w:rFonts w:asciiTheme="minorHAnsi" w:hAnsiTheme="minorHAnsi" w:cs="Arial"/>
        </w:rPr>
      </w:pPr>
      <w:r w:rsidRPr="00B957E1">
        <w:rPr>
          <w:rFonts w:asciiTheme="minorHAnsi" w:hAnsiTheme="minorHAnsi" w:cs="Arial"/>
        </w:rPr>
        <w:t xml:space="preserve">Client/household needs </w:t>
      </w:r>
      <w:r>
        <w:rPr>
          <w:rFonts w:asciiTheme="minorHAnsi" w:hAnsiTheme="minorHAnsi" w:cs="Arial"/>
        </w:rPr>
        <w:t>cannot be addressed by the program</w:t>
      </w:r>
      <w:r w:rsidRPr="00B957E1">
        <w:rPr>
          <w:rFonts w:asciiTheme="minorHAnsi" w:hAnsiTheme="minorHAnsi" w:cs="Arial"/>
        </w:rPr>
        <w:t>.  The program does not offer the services and/or housing supports necessary to successfully serve the household.</w:t>
      </w:r>
    </w:p>
    <w:p w:rsidR="002A2A32" w:rsidRPr="00B957E1" w:rsidRDefault="002A2A32" w:rsidP="002A2A32">
      <w:pPr>
        <w:pStyle w:val="ListParagraph"/>
        <w:numPr>
          <w:ilvl w:val="0"/>
          <w:numId w:val="8"/>
        </w:numPr>
        <w:rPr>
          <w:rFonts w:asciiTheme="minorHAnsi" w:hAnsiTheme="minorHAnsi" w:cs="Arial"/>
        </w:rPr>
      </w:pPr>
      <w:r w:rsidRPr="00B957E1">
        <w:rPr>
          <w:rFonts w:asciiTheme="minorHAnsi" w:hAnsiTheme="minorHAnsi" w:cs="Arial"/>
        </w:rPr>
        <w:t>Program at bed/unit/service capacity at time of referral</w:t>
      </w:r>
    </w:p>
    <w:p w:rsidR="002A2A32" w:rsidRPr="00B957E1" w:rsidRDefault="002A2A32" w:rsidP="002A2A32">
      <w:pPr>
        <w:pStyle w:val="ListParagraph"/>
        <w:numPr>
          <w:ilvl w:val="0"/>
          <w:numId w:val="8"/>
        </w:numPr>
        <w:rPr>
          <w:rFonts w:asciiTheme="minorHAnsi" w:hAnsiTheme="minorHAnsi" w:cs="Arial"/>
        </w:rPr>
      </w:pPr>
      <w:r w:rsidRPr="00B957E1">
        <w:rPr>
          <w:rFonts w:asciiTheme="minorHAnsi" w:hAnsiTheme="minorHAnsi" w:cs="Arial"/>
        </w:rPr>
        <w:t>Property management denial</w:t>
      </w:r>
      <w:r w:rsidR="00D9362A" w:rsidRPr="00B957E1">
        <w:rPr>
          <w:rFonts w:asciiTheme="minorHAnsi" w:hAnsiTheme="minorHAnsi" w:cs="Arial"/>
        </w:rPr>
        <w:t xml:space="preserve"> (include specific reason cited by property manager)</w:t>
      </w:r>
    </w:p>
    <w:p w:rsidR="00623AEA" w:rsidRPr="00B957E1" w:rsidRDefault="002A2A32" w:rsidP="002A2A32">
      <w:pPr>
        <w:pStyle w:val="ListParagraph"/>
        <w:numPr>
          <w:ilvl w:val="0"/>
          <w:numId w:val="8"/>
        </w:numPr>
        <w:rPr>
          <w:rFonts w:asciiTheme="minorHAnsi" w:hAnsiTheme="minorHAnsi" w:cs="Arial"/>
        </w:rPr>
      </w:pPr>
      <w:r w:rsidRPr="00B957E1">
        <w:rPr>
          <w:rFonts w:asciiTheme="minorHAnsi" w:hAnsiTheme="minorHAnsi" w:cs="Arial"/>
        </w:rPr>
        <w:t>C</w:t>
      </w:r>
      <w:r w:rsidR="00623AEA" w:rsidRPr="00B957E1">
        <w:rPr>
          <w:rFonts w:asciiTheme="minorHAnsi" w:hAnsiTheme="minorHAnsi" w:cs="Arial"/>
        </w:rPr>
        <w:t>onflict of interest.</w:t>
      </w:r>
    </w:p>
    <w:p w:rsidR="008551C0" w:rsidRDefault="008551C0" w:rsidP="0091517D">
      <w:pPr>
        <w:rPr>
          <w:rFonts w:cs="Arial"/>
          <w:color w:val="1F497D"/>
        </w:rPr>
      </w:pPr>
    </w:p>
    <w:p w:rsidR="00B5286A" w:rsidRPr="00EB4483" w:rsidRDefault="00B5286A" w:rsidP="0091517D">
      <w:pPr>
        <w:rPr>
          <w:rFonts w:cs="Arial"/>
          <w:color w:val="000000" w:themeColor="text1"/>
        </w:rPr>
      </w:pPr>
      <w:r w:rsidRPr="00EB4483">
        <w:rPr>
          <w:rFonts w:cs="Arial"/>
          <w:color w:val="000000" w:themeColor="text1"/>
        </w:rPr>
        <w:t>In the event of a service denial or participant rejection the following steps must be followed:</w:t>
      </w:r>
    </w:p>
    <w:p w:rsidR="00B957E1" w:rsidRPr="00EB4483" w:rsidRDefault="00B957E1" w:rsidP="00B5286A">
      <w:pPr>
        <w:pStyle w:val="ListParagraph"/>
        <w:numPr>
          <w:ilvl w:val="0"/>
          <w:numId w:val="16"/>
        </w:numPr>
        <w:rPr>
          <w:rFonts w:cs="Arial"/>
          <w:color w:val="000000" w:themeColor="text1"/>
        </w:rPr>
      </w:pPr>
      <w:r w:rsidRPr="00EB4483">
        <w:rPr>
          <w:rFonts w:cs="Arial"/>
          <w:color w:val="000000" w:themeColor="text1"/>
        </w:rPr>
        <w:t>A</w:t>
      </w:r>
      <w:r w:rsidR="00EB4483" w:rsidRPr="00EB4483">
        <w:rPr>
          <w:rFonts w:cs="Arial"/>
          <w:color w:val="000000" w:themeColor="text1"/>
        </w:rPr>
        <w:t>ny</w:t>
      </w:r>
      <w:r w:rsidRPr="00EB4483">
        <w:rPr>
          <w:rFonts w:cs="Arial"/>
          <w:color w:val="000000" w:themeColor="text1"/>
        </w:rPr>
        <w:t xml:space="preserve"> r</w:t>
      </w:r>
      <w:r w:rsidR="00EB4483" w:rsidRPr="00EB4483">
        <w:rPr>
          <w:rFonts w:cs="Arial"/>
          <w:color w:val="000000" w:themeColor="text1"/>
        </w:rPr>
        <w:t xml:space="preserve">eferral </w:t>
      </w:r>
      <w:r w:rsidRPr="00EB4483">
        <w:rPr>
          <w:rFonts w:cs="Arial"/>
          <w:color w:val="000000" w:themeColor="text1"/>
        </w:rPr>
        <w:t xml:space="preserve">provisionally reviewed </w:t>
      </w:r>
      <w:r w:rsidR="00EB4483" w:rsidRPr="00EB4483">
        <w:rPr>
          <w:rFonts w:cs="Arial"/>
          <w:color w:val="000000" w:themeColor="text1"/>
        </w:rPr>
        <w:t xml:space="preserve">by participating agencies and </w:t>
      </w:r>
      <w:proofErr w:type="spellStart"/>
      <w:r w:rsidR="00EB4483" w:rsidRPr="00EB4483">
        <w:rPr>
          <w:rFonts w:cs="Arial"/>
          <w:color w:val="000000" w:themeColor="text1"/>
        </w:rPr>
        <w:t>apreliminary</w:t>
      </w:r>
      <w:proofErr w:type="spellEnd"/>
      <w:r w:rsidR="00EB4483" w:rsidRPr="00EB4483">
        <w:rPr>
          <w:rFonts w:cs="Arial"/>
          <w:color w:val="000000" w:themeColor="text1"/>
        </w:rPr>
        <w:t xml:space="preserve"> enrollment determination made must be </w:t>
      </w:r>
      <w:r w:rsidRPr="00EB4483">
        <w:rPr>
          <w:rFonts w:cs="Arial"/>
          <w:color w:val="000000" w:themeColor="text1"/>
        </w:rPr>
        <w:t xml:space="preserve">communicated </w:t>
      </w:r>
      <w:r w:rsidR="00EB4483" w:rsidRPr="00EB4483">
        <w:rPr>
          <w:rFonts w:cs="Arial"/>
          <w:color w:val="000000" w:themeColor="text1"/>
        </w:rPr>
        <w:t xml:space="preserve">back to the CES manager, assessment and referral provider, or client advocate </w:t>
      </w:r>
      <w:r w:rsidRPr="00EB4483">
        <w:rPr>
          <w:rFonts w:cs="Arial"/>
          <w:color w:val="000000" w:themeColor="text1"/>
        </w:rPr>
        <w:t xml:space="preserve">within </w:t>
      </w:r>
      <w:r w:rsidR="00EB4483" w:rsidRPr="00EB4483">
        <w:rPr>
          <w:rFonts w:cs="Arial"/>
          <w:b/>
          <w:color w:val="000000" w:themeColor="text1"/>
        </w:rPr>
        <w:t>3 business</w:t>
      </w:r>
      <w:r w:rsidRPr="00EB4483">
        <w:rPr>
          <w:rFonts w:cs="Arial"/>
          <w:b/>
          <w:color w:val="000000" w:themeColor="text1"/>
        </w:rPr>
        <w:t xml:space="preserve"> days</w:t>
      </w:r>
      <w:r w:rsidRPr="00EB4483">
        <w:rPr>
          <w:rFonts w:cs="Arial"/>
          <w:color w:val="000000" w:themeColor="text1"/>
        </w:rPr>
        <w:t xml:space="preserve">.  </w:t>
      </w:r>
    </w:p>
    <w:p w:rsidR="00B5286A" w:rsidRPr="00EB4483" w:rsidRDefault="00B5286A" w:rsidP="00B5286A">
      <w:pPr>
        <w:pStyle w:val="ListParagraph"/>
        <w:numPr>
          <w:ilvl w:val="0"/>
          <w:numId w:val="16"/>
        </w:numPr>
        <w:rPr>
          <w:rFonts w:cs="Arial"/>
          <w:color w:val="000000" w:themeColor="text1"/>
        </w:rPr>
      </w:pPr>
      <w:r w:rsidRPr="00EB4483">
        <w:rPr>
          <w:rFonts w:cs="Arial"/>
          <w:color w:val="000000" w:themeColor="text1"/>
        </w:rPr>
        <w:t xml:space="preserve">All referral requests that result in a denial must be reviewed by the CES manager, assessment and referral provider, or client advocate designated by the </w:t>
      </w:r>
      <w:proofErr w:type="spellStart"/>
      <w:r w:rsidRPr="00EB4483">
        <w:rPr>
          <w:rFonts w:cs="Arial"/>
          <w:color w:val="000000" w:themeColor="text1"/>
        </w:rPr>
        <w:t>CoC</w:t>
      </w:r>
      <w:proofErr w:type="spellEnd"/>
      <w:r w:rsidRPr="00EB4483">
        <w:rPr>
          <w:rFonts w:cs="Arial"/>
          <w:color w:val="000000" w:themeColor="text1"/>
        </w:rPr>
        <w:t>.</w:t>
      </w:r>
    </w:p>
    <w:p w:rsidR="00B5286A" w:rsidRPr="00EB4483" w:rsidRDefault="00B5286A" w:rsidP="00B5286A">
      <w:pPr>
        <w:pStyle w:val="ListParagraph"/>
        <w:numPr>
          <w:ilvl w:val="0"/>
          <w:numId w:val="16"/>
        </w:numPr>
        <w:rPr>
          <w:rFonts w:cs="Arial"/>
          <w:color w:val="000000" w:themeColor="text1"/>
        </w:rPr>
      </w:pPr>
      <w:r w:rsidRPr="00EB4483">
        <w:rPr>
          <w:rFonts w:cs="Arial"/>
          <w:color w:val="000000" w:themeColor="text1"/>
        </w:rPr>
        <w:t>If a referral is returned to the housing referral coordinator or designee, the HMIS record must be updated to reflect the reason for the denial.</w:t>
      </w:r>
    </w:p>
    <w:p w:rsidR="00B5286A" w:rsidRPr="00EB4483" w:rsidRDefault="008D798E" w:rsidP="00B5286A">
      <w:pPr>
        <w:pStyle w:val="ListParagraph"/>
        <w:numPr>
          <w:ilvl w:val="0"/>
          <w:numId w:val="16"/>
        </w:numPr>
        <w:rPr>
          <w:rFonts w:cs="Arial"/>
          <w:color w:val="000000" w:themeColor="text1"/>
        </w:rPr>
      </w:pPr>
      <w:r w:rsidRPr="00EB4483">
        <w:rPr>
          <w:rFonts w:cs="Arial"/>
          <w:color w:val="000000" w:themeColor="text1"/>
        </w:rPr>
        <w:t xml:space="preserve">The </w:t>
      </w:r>
      <w:proofErr w:type="spellStart"/>
      <w:r w:rsidRPr="00EB4483">
        <w:rPr>
          <w:rFonts w:cs="Arial"/>
          <w:color w:val="000000" w:themeColor="text1"/>
        </w:rPr>
        <w:t>CoC</w:t>
      </w:r>
      <w:proofErr w:type="spellEnd"/>
      <w:r w:rsidRPr="00EB4483">
        <w:rPr>
          <w:rFonts w:cs="Arial"/>
          <w:color w:val="000000" w:themeColor="text1"/>
        </w:rPr>
        <w:t xml:space="preserve"> project denying the referral must notify the CES manager, assessment and referral provider, or client advocate within </w:t>
      </w:r>
      <w:r w:rsidR="00B957E1" w:rsidRPr="00EB4483">
        <w:rPr>
          <w:rFonts w:cs="Arial"/>
          <w:color w:val="000000" w:themeColor="text1"/>
        </w:rPr>
        <w:t xml:space="preserve">a specified amount of time determined by the </w:t>
      </w:r>
      <w:proofErr w:type="spellStart"/>
      <w:r w:rsidR="00B957E1" w:rsidRPr="00EB4483">
        <w:rPr>
          <w:rFonts w:cs="Arial"/>
          <w:color w:val="000000" w:themeColor="text1"/>
        </w:rPr>
        <w:t>CoC</w:t>
      </w:r>
      <w:proofErr w:type="spellEnd"/>
      <w:r w:rsidRPr="00EB4483">
        <w:rPr>
          <w:rFonts w:cs="Arial"/>
          <w:color w:val="000000" w:themeColor="text1"/>
        </w:rPr>
        <w:t xml:space="preserve">. Further communication must include a detailed written justification of the referral denial provided within </w:t>
      </w:r>
      <w:r w:rsidRPr="00EB4483">
        <w:rPr>
          <w:rFonts w:cs="Arial"/>
          <w:b/>
          <w:color w:val="000000" w:themeColor="text1"/>
        </w:rPr>
        <w:t>3 business days</w:t>
      </w:r>
      <w:r w:rsidRPr="00EB4483">
        <w:rPr>
          <w:rFonts w:cs="Arial"/>
          <w:color w:val="000000" w:themeColor="text1"/>
        </w:rPr>
        <w:t>.  The written justification of service denial must also be shared with the client.</w:t>
      </w:r>
    </w:p>
    <w:p w:rsidR="008D798E" w:rsidRPr="00EB4483" w:rsidRDefault="008D798E" w:rsidP="00B5286A">
      <w:pPr>
        <w:pStyle w:val="ListParagraph"/>
        <w:numPr>
          <w:ilvl w:val="0"/>
          <w:numId w:val="16"/>
        </w:numPr>
        <w:rPr>
          <w:rFonts w:cs="Arial"/>
          <w:color w:val="000000" w:themeColor="text1"/>
        </w:rPr>
      </w:pPr>
      <w:r w:rsidRPr="00EB4483">
        <w:rPr>
          <w:rFonts w:cs="Arial"/>
          <w:color w:val="000000" w:themeColor="text1"/>
        </w:rPr>
        <w:t xml:space="preserve">A provider who denies three sequential referrals will be required to participate in a case conferencing meeting with the CES manager, assessment and referral provider, or client advocate designated by the </w:t>
      </w:r>
      <w:proofErr w:type="spellStart"/>
      <w:r w:rsidRPr="00EB4483">
        <w:rPr>
          <w:rFonts w:cs="Arial"/>
          <w:color w:val="000000" w:themeColor="text1"/>
        </w:rPr>
        <w:t>CoC</w:t>
      </w:r>
      <w:proofErr w:type="spellEnd"/>
      <w:r w:rsidRPr="00EB4483">
        <w:rPr>
          <w:rFonts w:cs="Arial"/>
          <w:color w:val="000000" w:themeColor="text1"/>
        </w:rPr>
        <w:t>.</w:t>
      </w:r>
    </w:p>
    <w:p w:rsidR="008D798E" w:rsidRPr="00EB4483" w:rsidRDefault="008D798E" w:rsidP="008D798E">
      <w:pPr>
        <w:pStyle w:val="ListParagraph"/>
        <w:numPr>
          <w:ilvl w:val="0"/>
          <w:numId w:val="16"/>
        </w:numPr>
        <w:rPr>
          <w:rFonts w:cs="Arial"/>
          <w:color w:val="000000" w:themeColor="text1"/>
        </w:rPr>
      </w:pPr>
      <w:r w:rsidRPr="00EB4483">
        <w:rPr>
          <w:rFonts w:cs="Arial"/>
          <w:color w:val="000000" w:themeColor="text1"/>
        </w:rPr>
        <w:t xml:space="preserve">A client who denies three sequential referrals will be required to participate in a case conferencing meeting with the CES manager, assessment and referral provider, or client advocate designated by the </w:t>
      </w:r>
      <w:proofErr w:type="spellStart"/>
      <w:r w:rsidRPr="00EB4483">
        <w:rPr>
          <w:rFonts w:cs="Arial"/>
          <w:color w:val="000000" w:themeColor="text1"/>
        </w:rPr>
        <w:t>CoC</w:t>
      </w:r>
      <w:proofErr w:type="spellEnd"/>
      <w:r w:rsidRPr="00EB4483">
        <w:rPr>
          <w:rFonts w:cs="Arial"/>
          <w:color w:val="000000" w:themeColor="text1"/>
        </w:rPr>
        <w:t>.</w:t>
      </w:r>
    </w:p>
    <w:p w:rsidR="008D798E" w:rsidRPr="00B5286A" w:rsidRDefault="008D798E" w:rsidP="008D798E">
      <w:pPr>
        <w:pStyle w:val="ListParagraph"/>
        <w:rPr>
          <w:rFonts w:cs="Arial"/>
          <w:color w:val="000000" w:themeColor="text1"/>
        </w:rPr>
      </w:pPr>
    </w:p>
    <w:p w:rsidR="00D9362A" w:rsidRPr="00B5286A" w:rsidRDefault="00D9362A" w:rsidP="0091517D">
      <w:pPr>
        <w:rPr>
          <w:color w:val="1F497D"/>
        </w:rPr>
      </w:pPr>
    </w:p>
    <w:p w:rsidR="00014612" w:rsidRPr="00B5286A" w:rsidRDefault="00E320BB" w:rsidP="0091517D">
      <w:pPr>
        <w:rPr>
          <w:b/>
          <w:color w:val="1F497D"/>
        </w:rPr>
      </w:pPr>
      <w:r w:rsidRPr="00B5286A">
        <w:rPr>
          <w:b/>
          <w:color w:val="1F497D"/>
        </w:rPr>
        <w:t xml:space="preserve">Outreach </w:t>
      </w:r>
    </w:p>
    <w:p w:rsidR="00014612" w:rsidRPr="00B5286A" w:rsidRDefault="00014612" w:rsidP="0091517D">
      <w:r w:rsidRPr="00B5286A">
        <w:t xml:space="preserve">All </w:t>
      </w:r>
      <w:proofErr w:type="spellStart"/>
      <w:r w:rsidRPr="00B5286A">
        <w:t>CoC</w:t>
      </w:r>
      <w:proofErr w:type="spellEnd"/>
      <w:r w:rsidRPr="00B5286A">
        <w:t xml:space="preserve"> outreach activities, projects, initiatives must be associated with the </w:t>
      </w:r>
      <w:proofErr w:type="spellStart"/>
      <w:r w:rsidRPr="00B5286A">
        <w:t>CoC’s</w:t>
      </w:r>
      <w:proofErr w:type="spellEnd"/>
      <w:r w:rsidRPr="00B5286A">
        <w:t xml:space="preserve"> CES design, serving as </w:t>
      </w:r>
      <w:r w:rsidR="004E12E9" w:rsidRPr="00B5286A">
        <w:t xml:space="preserve">an engagement resource or </w:t>
      </w:r>
      <w:r w:rsidRPr="00B5286A">
        <w:t xml:space="preserve">designated access points for </w:t>
      </w:r>
      <w:proofErr w:type="spellStart"/>
      <w:r w:rsidRPr="00B5286A">
        <w:t>CoC</w:t>
      </w:r>
      <w:proofErr w:type="spellEnd"/>
      <w:r w:rsidRPr="00B5286A">
        <w:t xml:space="preserve"> resources, services, and housing.</w:t>
      </w:r>
    </w:p>
    <w:p w:rsidR="0091517D" w:rsidRPr="00B5286A" w:rsidRDefault="0091517D" w:rsidP="0091517D">
      <w:pPr>
        <w:rPr>
          <w:color w:val="1F497D"/>
        </w:rPr>
      </w:pPr>
    </w:p>
    <w:p w:rsidR="00014612" w:rsidRPr="00B5286A" w:rsidRDefault="00014612" w:rsidP="0091517D">
      <w:pPr>
        <w:rPr>
          <w:b/>
          <w:color w:val="1F497D"/>
        </w:rPr>
      </w:pPr>
      <w:r w:rsidRPr="00B5286A">
        <w:rPr>
          <w:b/>
          <w:color w:val="1F497D"/>
        </w:rPr>
        <w:t>Stakeholder I</w:t>
      </w:r>
      <w:r w:rsidR="00E320BB" w:rsidRPr="00B5286A">
        <w:rPr>
          <w:b/>
          <w:color w:val="1F497D"/>
        </w:rPr>
        <w:t xml:space="preserve">nclusion </w:t>
      </w:r>
    </w:p>
    <w:p w:rsidR="00014612" w:rsidRPr="00B5286A" w:rsidRDefault="00AC1F28" w:rsidP="0091517D">
      <w:proofErr w:type="spellStart"/>
      <w:r w:rsidRPr="00B5286A">
        <w:t>CoCs</w:t>
      </w:r>
      <w:proofErr w:type="spellEnd"/>
      <w:r w:rsidRPr="00B5286A">
        <w:t xml:space="preserve"> will support the implementation, expansion, and ongoing operation and evaluation of Coordinated Entry Systems by regularly convening stakeholder input and feedback opportunities.  </w:t>
      </w:r>
      <w:proofErr w:type="spellStart"/>
      <w:r w:rsidR="00871B50" w:rsidRPr="00B5286A">
        <w:t>CoC</w:t>
      </w:r>
      <w:proofErr w:type="spellEnd"/>
      <w:r w:rsidR="00871B50" w:rsidRPr="00B5286A">
        <w:t xml:space="preserve"> must develop a plan to collect stakeholder f</w:t>
      </w:r>
      <w:r w:rsidRPr="00B5286A">
        <w:t xml:space="preserve">eedback at least annually and will engage participants from all </w:t>
      </w:r>
      <w:proofErr w:type="spellStart"/>
      <w:r w:rsidRPr="00B5286A">
        <w:t>CoC</w:t>
      </w:r>
      <w:proofErr w:type="spellEnd"/>
      <w:r w:rsidRPr="00B5286A">
        <w:t xml:space="preserve"> component types, referral sources, residents and participants of homeless services and programs, funders of homeless response systems, and mainstream system providers.</w:t>
      </w:r>
    </w:p>
    <w:p w:rsidR="0091517D" w:rsidRPr="00B5286A" w:rsidRDefault="0091517D" w:rsidP="0091517D">
      <w:pPr>
        <w:rPr>
          <w:color w:val="1F497D"/>
        </w:rPr>
      </w:pPr>
    </w:p>
    <w:p w:rsidR="00014612" w:rsidRPr="00B5286A" w:rsidRDefault="00E320BB" w:rsidP="0091517D">
      <w:pPr>
        <w:rPr>
          <w:b/>
          <w:color w:val="1F497D"/>
        </w:rPr>
      </w:pPr>
      <w:r w:rsidRPr="00B5286A">
        <w:rPr>
          <w:b/>
          <w:color w:val="1F497D"/>
        </w:rPr>
        <w:t>Full coverage</w:t>
      </w:r>
    </w:p>
    <w:p w:rsidR="00014612" w:rsidRPr="00B5286A" w:rsidRDefault="00AC1F28" w:rsidP="0091517D">
      <w:r w:rsidRPr="00B5286A">
        <w:t xml:space="preserve">The full geography of the </w:t>
      </w:r>
      <w:proofErr w:type="spellStart"/>
      <w:r w:rsidRPr="00B5286A">
        <w:t>CoC</w:t>
      </w:r>
      <w:proofErr w:type="spellEnd"/>
      <w:r w:rsidRPr="00B5286A">
        <w:t xml:space="preserve"> must be </w:t>
      </w:r>
      <w:r w:rsidR="00C12B65" w:rsidRPr="00B5286A">
        <w:t>covered by CES services including</w:t>
      </w:r>
      <w:r w:rsidRPr="00B5286A">
        <w:t xml:space="preserve"> access to crisis response services, assessment of clients, and </w:t>
      </w:r>
      <w:r w:rsidR="00C12B65" w:rsidRPr="00B5286A">
        <w:t>referral options.</w:t>
      </w:r>
    </w:p>
    <w:p w:rsidR="00014612" w:rsidRPr="00B5286A" w:rsidRDefault="00014612" w:rsidP="0091517D">
      <w:pPr>
        <w:rPr>
          <w:color w:val="1F497D"/>
        </w:rPr>
      </w:pPr>
    </w:p>
    <w:p w:rsidR="00014612" w:rsidRPr="00B5286A" w:rsidRDefault="00E320BB" w:rsidP="0091517D">
      <w:pPr>
        <w:rPr>
          <w:b/>
          <w:color w:val="1F497D"/>
        </w:rPr>
      </w:pPr>
      <w:r w:rsidRPr="00B5286A">
        <w:rPr>
          <w:b/>
          <w:color w:val="1F497D"/>
        </w:rPr>
        <w:t>Privacy protections</w:t>
      </w:r>
    </w:p>
    <w:p w:rsidR="00014612" w:rsidRPr="00B5286A" w:rsidRDefault="00C12B65" w:rsidP="0091517D">
      <w:r w:rsidRPr="00B5286A">
        <w:t xml:space="preserve">CES operations and staff must abide by all </w:t>
      </w:r>
      <w:r w:rsidR="00A820BA" w:rsidRPr="00B5286A">
        <w:t>State of Minnesota</w:t>
      </w:r>
      <w:r w:rsidRPr="00B5286A">
        <w:t>-defined privacy protections</w:t>
      </w:r>
      <w:r w:rsidR="00A820BA" w:rsidRPr="00B5286A">
        <w:t xml:space="preserve"> as defined by the HMIS Advisory Committee.  </w:t>
      </w:r>
      <w:r w:rsidR="00BE2D4A" w:rsidRPr="00B5286A">
        <w:t>C</w:t>
      </w:r>
      <w:r w:rsidRPr="00B5286A">
        <w:t xml:space="preserve">lient consent protocols, data use agreements, data disclosure policies, </w:t>
      </w:r>
      <w:r w:rsidRPr="00B5286A">
        <w:lastRenderedPageBreak/>
        <w:t>and any other privacy protections offered to program participants as a result of each client’s participation in HMIS</w:t>
      </w:r>
      <w:r w:rsidR="00BE2D4A" w:rsidRPr="00B5286A">
        <w:t xml:space="preserve"> will be the same as CES</w:t>
      </w:r>
      <w:r w:rsidRPr="00B5286A">
        <w:t>.</w:t>
      </w:r>
    </w:p>
    <w:p w:rsidR="00014612" w:rsidRPr="00B5286A" w:rsidRDefault="00014612" w:rsidP="0091517D">
      <w:pPr>
        <w:rPr>
          <w:color w:val="1F497D"/>
        </w:rPr>
      </w:pPr>
    </w:p>
    <w:p w:rsidR="00014612" w:rsidRPr="00B5286A" w:rsidRDefault="00E320BB" w:rsidP="0091517D">
      <w:pPr>
        <w:rPr>
          <w:b/>
          <w:color w:val="1F497D"/>
        </w:rPr>
      </w:pPr>
      <w:r w:rsidRPr="00B5286A">
        <w:rPr>
          <w:b/>
          <w:color w:val="1F497D"/>
        </w:rPr>
        <w:t>List of resources</w:t>
      </w:r>
    </w:p>
    <w:p w:rsidR="00014612" w:rsidRPr="00B5286A" w:rsidRDefault="00C12B65" w:rsidP="0091517D">
      <w:r w:rsidRPr="00B5286A">
        <w:t xml:space="preserve">Each CES operator will maintain a list of all available </w:t>
      </w:r>
      <w:proofErr w:type="spellStart"/>
      <w:r w:rsidRPr="00B5286A">
        <w:t>CoC</w:t>
      </w:r>
      <w:proofErr w:type="spellEnd"/>
      <w:r w:rsidRPr="00B5286A">
        <w:t xml:space="preserve"> resources, including each project’s eligibility criteria and prioritization protocols.  The list of resources must be</w:t>
      </w:r>
      <w:r w:rsidR="008551C0" w:rsidRPr="00B5286A">
        <w:t xml:space="preserve"> updated annual </w:t>
      </w:r>
      <w:proofErr w:type="spellStart"/>
      <w:r w:rsidR="008551C0" w:rsidRPr="00B5286A">
        <w:t>and</w:t>
      </w:r>
      <w:r w:rsidR="00DA702E">
        <w:t>be</w:t>
      </w:r>
      <w:proofErr w:type="spellEnd"/>
      <w:r w:rsidR="00DA702E">
        <w:t xml:space="preserve"> publicly available</w:t>
      </w:r>
      <w:r w:rsidRPr="00B5286A">
        <w:t>.</w:t>
      </w:r>
    </w:p>
    <w:p w:rsidR="00014612" w:rsidRPr="00B5286A" w:rsidRDefault="00014612" w:rsidP="0091517D">
      <w:pPr>
        <w:rPr>
          <w:color w:val="1F497D"/>
        </w:rPr>
      </w:pPr>
    </w:p>
    <w:p w:rsidR="00CF5DAA" w:rsidRPr="00B5286A" w:rsidRDefault="00E320BB" w:rsidP="0091517D">
      <w:pPr>
        <w:rPr>
          <w:b/>
          <w:color w:val="1F497D"/>
        </w:rPr>
      </w:pPr>
      <w:r w:rsidRPr="00B5286A">
        <w:rPr>
          <w:b/>
          <w:color w:val="1F497D"/>
        </w:rPr>
        <w:t>Assessor training</w:t>
      </w:r>
    </w:p>
    <w:p w:rsidR="00CF5DAA" w:rsidRPr="00B5286A" w:rsidRDefault="00C12B65" w:rsidP="0091517D">
      <w:proofErr w:type="spellStart"/>
      <w:r w:rsidRPr="00B5286A">
        <w:t>CoCs</w:t>
      </w:r>
      <w:proofErr w:type="spellEnd"/>
      <w:r w:rsidRPr="00B5286A">
        <w:t xml:space="preserve"> must develop and make available capacity building training courses or instruction for all CES assessors.  Training topics must address effective client engagement techniques, interviewing skills, collection of quality data, and maintenance of CES records and processes.</w:t>
      </w:r>
    </w:p>
    <w:p w:rsidR="00014612" w:rsidRPr="00B5286A" w:rsidRDefault="00014612" w:rsidP="0091517D">
      <w:pPr>
        <w:rPr>
          <w:color w:val="1F497D"/>
        </w:rPr>
      </w:pPr>
    </w:p>
    <w:p w:rsidR="00CF5DAA" w:rsidRPr="00B5286A" w:rsidRDefault="00E320BB" w:rsidP="0091517D">
      <w:pPr>
        <w:rPr>
          <w:b/>
          <w:color w:val="1F497D"/>
        </w:rPr>
      </w:pPr>
      <w:r w:rsidRPr="00B5286A">
        <w:rPr>
          <w:b/>
          <w:color w:val="1F497D"/>
        </w:rPr>
        <w:t>Data Sharing</w:t>
      </w:r>
    </w:p>
    <w:p w:rsidR="00CF5DAA" w:rsidRPr="00B5286A" w:rsidRDefault="00BE2D4A" w:rsidP="0091517D">
      <w:r w:rsidRPr="00005488">
        <w:t xml:space="preserve">All </w:t>
      </w:r>
      <w:proofErr w:type="spellStart"/>
      <w:r w:rsidRPr="00005488">
        <w:t>CoCs</w:t>
      </w:r>
      <w:proofErr w:type="spellEnd"/>
      <w:r w:rsidRPr="00005488">
        <w:t xml:space="preserve"> will follow the Data Sharing policies developed by the </w:t>
      </w:r>
      <w:r w:rsidR="00A07F8E" w:rsidRPr="00005488">
        <w:t xml:space="preserve">HMIS Advisory Task Force and </w:t>
      </w:r>
      <w:r w:rsidRPr="00005488">
        <w:t xml:space="preserve">Data Sharing </w:t>
      </w:r>
      <w:r w:rsidR="00A07F8E" w:rsidRPr="00005488">
        <w:t xml:space="preserve">planning </w:t>
      </w:r>
      <w:proofErr w:type="gramStart"/>
      <w:r w:rsidR="00A07F8E" w:rsidRPr="00005488">
        <w:t>group</w:t>
      </w:r>
      <w:r w:rsidRPr="00005488">
        <w:rPr>
          <w:highlight w:val="yellow"/>
        </w:rPr>
        <w:t>(</w:t>
      </w:r>
      <w:proofErr w:type="gramEnd"/>
      <w:r w:rsidRPr="00005488">
        <w:rPr>
          <w:highlight w:val="yellow"/>
        </w:rPr>
        <w:t>as yet undetermined as of the date of this document)</w:t>
      </w:r>
    </w:p>
    <w:p w:rsidR="00014612" w:rsidRPr="00B5286A" w:rsidRDefault="00014612" w:rsidP="0091517D">
      <w:pPr>
        <w:rPr>
          <w:color w:val="1F497D"/>
        </w:rPr>
      </w:pPr>
    </w:p>
    <w:p w:rsidR="00CF5DAA" w:rsidRPr="00B5286A" w:rsidRDefault="00E320BB" w:rsidP="0091517D">
      <w:pPr>
        <w:rPr>
          <w:b/>
          <w:color w:val="1F497D"/>
        </w:rPr>
      </w:pPr>
      <w:r w:rsidRPr="00B5286A">
        <w:rPr>
          <w:b/>
          <w:color w:val="1F497D"/>
        </w:rPr>
        <w:t>HMIS</w:t>
      </w:r>
    </w:p>
    <w:p w:rsidR="00E534A2" w:rsidRPr="00B5286A" w:rsidRDefault="00AF61D5" w:rsidP="0091517D">
      <w:pPr>
        <w:rPr>
          <w:highlight w:val="yellow"/>
        </w:rPr>
      </w:pPr>
      <w:r w:rsidRPr="00B5286A">
        <w:rPr>
          <w:highlight w:val="yellow"/>
        </w:rPr>
        <w:t xml:space="preserve">Each </w:t>
      </w:r>
      <w:proofErr w:type="spellStart"/>
      <w:r w:rsidRPr="00B5286A">
        <w:rPr>
          <w:highlight w:val="yellow"/>
        </w:rPr>
        <w:t>CoC</w:t>
      </w:r>
      <w:proofErr w:type="spellEnd"/>
      <w:r w:rsidRPr="00B5286A">
        <w:rPr>
          <w:highlight w:val="yellow"/>
        </w:rPr>
        <w:t xml:space="preserve"> will use the HMIS designated by the </w:t>
      </w:r>
      <w:proofErr w:type="spellStart"/>
      <w:r w:rsidRPr="00B5286A">
        <w:rPr>
          <w:highlight w:val="yellow"/>
        </w:rPr>
        <w:t>CoC</w:t>
      </w:r>
      <w:proofErr w:type="spellEnd"/>
      <w:r w:rsidRPr="00B5286A">
        <w:rPr>
          <w:highlight w:val="yellow"/>
        </w:rPr>
        <w:t xml:space="preserve"> to manage data related to CES operations.  At a minimum data collected and managed in HMIS must include </w:t>
      </w:r>
      <w:r w:rsidR="00E534A2" w:rsidRPr="00B5286A">
        <w:rPr>
          <w:highlight w:val="yellow"/>
        </w:rPr>
        <w:t>the following:</w:t>
      </w:r>
    </w:p>
    <w:p w:rsidR="002A2A32" w:rsidRPr="00B5286A" w:rsidRDefault="00E534A2" w:rsidP="00E534A2">
      <w:pPr>
        <w:pStyle w:val="ListParagraph"/>
        <w:numPr>
          <w:ilvl w:val="0"/>
          <w:numId w:val="8"/>
        </w:numPr>
        <w:rPr>
          <w:rFonts w:asciiTheme="minorHAnsi" w:hAnsiTheme="minorHAnsi"/>
          <w:highlight w:val="yellow"/>
        </w:rPr>
      </w:pPr>
      <w:r w:rsidRPr="00B5286A">
        <w:rPr>
          <w:rFonts w:asciiTheme="minorHAnsi" w:hAnsiTheme="minorHAnsi"/>
          <w:b/>
          <w:i/>
          <w:highlight w:val="yellow"/>
        </w:rPr>
        <w:t xml:space="preserve">Assessment Dates. </w:t>
      </w:r>
      <w:r w:rsidRPr="00B5286A">
        <w:rPr>
          <w:rFonts w:asciiTheme="minorHAnsi" w:hAnsiTheme="minorHAnsi"/>
          <w:highlight w:val="yellow"/>
        </w:rPr>
        <w:t>Dates that each stage of the client assessment is completed</w:t>
      </w:r>
      <w:r w:rsidR="002A2A32" w:rsidRPr="00B5286A">
        <w:rPr>
          <w:rFonts w:asciiTheme="minorHAnsi" w:hAnsiTheme="minorHAnsi"/>
          <w:highlight w:val="yellow"/>
        </w:rPr>
        <w:t>:</w:t>
      </w:r>
    </w:p>
    <w:p w:rsidR="002A2A32" w:rsidRPr="00B5286A" w:rsidRDefault="00E534A2" w:rsidP="002A2A32">
      <w:pPr>
        <w:pStyle w:val="ListParagraph"/>
        <w:numPr>
          <w:ilvl w:val="1"/>
          <w:numId w:val="8"/>
        </w:numPr>
        <w:rPr>
          <w:rFonts w:asciiTheme="minorHAnsi" w:hAnsiTheme="minorHAnsi"/>
          <w:highlight w:val="yellow"/>
        </w:rPr>
      </w:pPr>
      <w:r w:rsidRPr="00B5286A">
        <w:rPr>
          <w:rFonts w:asciiTheme="minorHAnsi" w:hAnsiTheme="minorHAnsi"/>
          <w:highlight w:val="yellow"/>
        </w:rPr>
        <w:t>Init</w:t>
      </w:r>
      <w:r w:rsidR="002A2A32" w:rsidRPr="00B5286A">
        <w:rPr>
          <w:rFonts w:asciiTheme="minorHAnsi" w:hAnsiTheme="minorHAnsi"/>
          <w:highlight w:val="yellow"/>
        </w:rPr>
        <w:t>ial Triage/Diversion;</w:t>
      </w:r>
    </w:p>
    <w:p w:rsidR="004C7B94" w:rsidRPr="00B5286A" w:rsidRDefault="004C7B94" w:rsidP="002A2A32">
      <w:pPr>
        <w:pStyle w:val="ListParagraph"/>
        <w:numPr>
          <w:ilvl w:val="1"/>
          <w:numId w:val="8"/>
        </w:numPr>
        <w:rPr>
          <w:rFonts w:asciiTheme="minorHAnsi" w:hAnsiTheme="minorHAnsi"/>
          <w:highlight w:val="yellow"/>
        </w:rPr>
      </w:pPr>
      <w:r w:rsidRPr="00B5286A">
        <w:rPr>
          <w:rFonts w:asciiTheme="minorHAnsi" w:hAnsiTheme="minorHAnsi"/>
          <w:highlight w:val="yellow"/>
        </w:rPr>
        <w:t>Client Intake/Assessment;</w:t>
      </w:r>
    </w:p>
    <w:p w:rsidR="00E534A2" w:rsidRPr="00B5286A" w:rsidRDefault="00E534A2" w:rsidP="002A2A32">
      <w:pPr>
        <w:pStyle w:val="ListParagraph"/>
        <w:numPr>
          <w:ilvl w:val="1"/>
          <w:numId w:val="8"/>
        </w:numPr>
        <w:rPr>
          <w:rFonts w:asciiTheme="minorHAnsi" w:hAnsiTheme="minorHAnsi"/>
          <w:highlight w:val="yellow"/>
        </w:rPr>
      </w:pPr>
      <w:r w:rsidRPr="00B5286A">
        <w:rPr>
          <w:rFonts w:asciiTheme="minorHAnsi" w:hAnsiTheme="minorHAnsi"/>
          <w:highlight w:val="yellow"/>
        </w:rPr>
        <w:t>C</w:t>
      </w:r>
      <w:r w:rsidR="004C7B94" w:rsidRPr="00B5286A">
        <w:rPr>
          <w:rFonts w:asciiTheme="minorHAnsi" w:hAnsiTheme="minorHAnsi"/>
          <w:highlight w:val="yellow"/>
        </w:rPr>
        <w:t>omprehensive/Housing Assessment</w:t>
      </w:r>
      <w:r w:rsidRPr="00B5286A">
        <w:rPr>
          <w:rFonts w:asciiTheme="minorHAnsi" w:hAnsiTheme="minorHAnsi"/>
          <w:highlight w:val="yellow"/>
        </w:rPr>
        <w:t xml:space="preserve">; </w:t>
      </w:r>
    </w:p>
    <w:p w:rsidR="00E534A2" w:rsidRPr="00B5286A" w:rsidRDefault="00E534A2" w:rsidP="00E534A2">
      <w:pPr>
        <w:pStyle w:val="ListParagraph"/>
        <w:numPr>
          <w:ilvl w:val="0"/>
          <w:numId w:val="8"/>
        </w:numPr>
        <w:rPr>
          <w:rFonts w:asciiTheme="minorHAnsi" w:hAnsiTheme="minorHAnsi"/>
          <w:highlight w:val="yellow"/>
        </w:rPr>
      </w:pPr>
      <w:r w:rsidRPr="00B5286A">
        <w:rPr>
          <w:rFonts w:asciiTheme="minorHAnsi" w:hAnsiTheme="minorHAnsi"/>
          <w:b/>
          <w:i/>
          <w:highlight w:val="yellow"/>
        </w:rPr>
        <w:t xml:space="preserve">VI-SPDAT </w:t>
      </w:r>
      <w:proofErr w:type="gramStart"/>
      <w:r w:rsidRPr="00B5286A">
        <w:rPr>
          <w:rFonts w:asciiTheme="minorHAnsi" w:hAnsiTheme="minorHAnsi"/>
          <w:b/>
          <w:i/>
          <w:highlight w:val="yellow"/>
        </w:rPr>
        <w:t>score</w:t>
      </w:r>
      <w:proofErr w:type="gramEnd"/>
      <w:r w:rsidRPr="00B5286A">
        <w:rPr>
          <w:rFonts w:asciiTheme="minorHAnsi" w:hAnsiTheme="minorHAnsi"/>
          <w:highlight w:val="yellow"/>
        </w:rPr>
        <w:t xml:space="preserve"> (if applicable).  The VI-SPDAT as determined by the administration of the VI-SPDAT tool;</w:t>
      </w:r>
    </w:p>
    <w:p w:rsidR="00CF5DAA" w:rsidRPr="00B5286A" w:rsidRDefault="00E534A2" w:rsidP="00E534A2">
      <w:pPr>
        <w:pStyle w:val="ListParagraph"/>
        <w:numPr>
          <w:ilvl w:val="0"/>
          <w:numId w:val="8"/>
        </w:numPr>
        <w:rPr>
          <w:rFonts w:asciiTheme="minorHAnsi" w:hAnsiTheme="minorHAnsi"/>
          <w:highlight w:val="yellow"/>
        </w:rPr>
      </w:pPr>
      <w:r w:rsidRPr="00B5286A">
        <w:rPr>
          <w:rFonts w:asciiTheme="minorHAnsi" w:hAnsiTheme="minorHAnsi"/>
          <w:b/>
          <w:i/>
          <w:highlight w:val="yellow"/>
        </w:rPr>
        <w:t>CES Referral Determination</w:t>
      </w:r>
      <w:r w:rsidRPr="00B5286A">
        <w:rPr>
          <w:rFonts w:asciiTheme="minorHAnsi" w:hAnsiTheme="minorHAnsi"/>
          <w:highlight w:val="yellow"/>
        </w:rPr>
        <w:t xml:space="preserve">.  The service strategy referral as determined </w:t>
      </w:r>
      <w:r w:rsidR="004C7B94" w:rsidRPr="00B5286A">
        <w:rPr>
          <w:rFonts w:asciiTheme="minorHAnsi" w:hAnsiTheme="minorHAnsi"/>
          <w:highlight w:val="yellow"/>
        </w:rPr>
        <w:t>by the Comprehensive Assessment:</w:t>
      </w:r>
    </w:p>
    <w:p w:rsidR="004C7B94" w:rsidRPr="00B5286A" w:rsidRDefault="004C7B94" w:rsidP="004C7B94">
      <w:pPr>
        <w:pStyle w:val="ListParagraph"/>
        <w:numPr>
          <w:ilvl w:val="1"/>
          <w:numId w:val="8"/>
        </w:numPr>
        <w:rPr>
          <w:rFonts w:asciiTheme="minorHAnsi" w:hAnsiTheme="minorHAnsi"/>
          <w:highlight w:val="yellow"/>
        </w:rPr>
      </w:pPr>
      <w:r w:rsidRPr="00B5286A">
        <w:rPr>
          <w:rFonts w:asciiTheme="minorHAnsi" w:hAnsiTheme="minorHAnsi"/>
          <w:highlight w:val="yellow"/>
        </w:rPr>
        <w:t>Rapid Re-Housing</w:t>
      </w:r>
    </w:p>
    <w:p w:rsidR="004C7B94" w:rsidRPr="00B5286A" w:rsidRDefault="004C7B94" w:rsidP="004C7B94">
      <w:pPr>
        <w:pStyle w:val="ListParagraph"/>
        <w:numPr>
          <w:ilvl w:val="1"/>
          <w:numId w:val="8"/>
        </w:numPr>
        <w:rPr>
          <w:rFonts w:asciiTheme="minorHAnsi" w:hAnsiTheme="minorHAnsi"/>
          <w:highlight w:val="yellow"/>
        </w:rPr>
      </w:pPr>
      <w:r w:rsidRPr="00B5286A">
        <w:rPr>
          <w:rFonts w:asciiTheme="minorHAnsi" w:hAnsiTheme="minorHAnsi"/>
          <w:highlight w:val="yellow"/>
        </w:rPr>
        <w:t>Transitional Housing</w:t>
      </w:r>
    </w:p>
    <w:p w:rsidR="004C7B94" w:rsidRPr="00B5286A" w:rsidRDefault="004C7B94" w:rsidP="004C7B94">
      <w:pPr>
        <w:pStyle w:val="ListParagraph"/>
        <w:numPr>
          <w:ilvl w:val="1"/>
          <w:numId w:val="8"/>
        </w:numPr>
        <w:rPr>
          <w:rFonts w:asciiTheme="minorHAnsi" w:hAnsiTheme="minorHAnsi"/>
          <w:highlight w:val="yellow"/>
        </w:rPr>
      </w:pPr>
      <w:r w:rsidRPr="00B5286A">
        <w:rPr>
          <w:rFonts w:asciiTheme="minorHAnsi" w:hAnsiTheme="minorHAnsi"/>
          <w:highlight w:val="yellow"/>
        </w:rPr>
        <w:t>Permanent Supportive Housing</w:t>
      </w:r>
    </w:p>
    <w:p w:rsidR="00E534A2" w:rsidRPr="00B5286A" w:rsidRDefault="00E534A2" w:rsidP="00E534A2">
      <w:pPr>
        <w:pStyle w:val="ListParagraph"/>
        <w:numPr>
          <w:ilvl w:val="0"/>
          <w:numId w:val="8"/>
        </w:numPr>
        <w:rPr>
          <w:rFonts w:asciiTheme="minorHAnsi" w:hAnsiTheme="minorHAnsi"/>
          <w:highlight w:val="yellow"/>
        </w:rPr>
      </w:pPr>
      <w:r w:rsidRPr="00B5286A">
        <w:rPr>
          <w:rFonts w:asciiTheme="minorHAnsi" w:hAnsiTheme="minorHAnsi"/>
          <w:b/>
          <w:i/>
          <w:highlight w:val="yellow"/>
        </w:rPr>
        <w:t>CES Placement</w:t>
      </w:r>
      <w:r w:rsidRPr="00B5286A">
        <w:rPr>
          <w:rFonts w:asciiTheme="minorHAnsi" w:hAnsiTheme="minorHAnsi"/>
          <w:highlight w:val="yellow"/>
        </w:rPr>
        <w:t xml:space="preserve">.  The provider name and </w:t>
      </w:r>
      <w:proofErr w:type="spellStart"/>
      <w:r w:rsidRPr="00B5286A">
        <w:rPr>
          <w:rFonts w:asciiTheme="minorHAnsi" w:hAnsiTheme="minorHAnsi"/>
          <w:highlight w:val="yellow"/>
        </w:rPr>
        <w:t>CoC</w:t>
      </w:r>
      <w:proofErr w:type="spellEnd"/>
      <w:r w:rsidRPr="00B5286A">
        <w:rPr>
          <w:rFonts w:asciiTheme="minorHAnsi" w:hAnsiTheme="minorHAnsi"/>
          <w:highlight w:val="yellow"/>
        </w:rPr>
        <w:t xml:space="preserve"> component type of the final disposition for each referred client.</w:t>
      </w:r>
    </w:p>
    <w:p w:rsidR="00E534A2" w:rsidRPr="00B5286A" w:rsidRDefault="00E534A2" w:rsidP="00E534A2">
      <w:pPr>
        <w:pStyle w:val="ListParagraph"/>
        <w:numPr>
          <w:ilvl w:val="0"/>
          <w:numId w:val="8"/>
        </w:numPr>
        <w:rPr>
          <w:rFonts w:asciiTheme="minorHAnsi" w:hAnsiTheme="minorHAnsi"/>
          <w:highlight w:val="yellow"/>
        </w:rPr>
      </w:pPr>
      <w:r w:rsidRPr="00B5286A">
        <w:rPr>
          <w:rFonts w:asciiTheme="minorHAnsi" w:hAnsiTheme="minorHAnsi"/>
          <w:b/>
          <w:i/>
          <w:highlight w:val="yellow"/>
        </w:rPr>
        <w:t>Reason for Denial</w:t>
      </w:r>
      <w:r w:rsidRPr="00B5286A">
        <w:rPr>
          <w:rFonts w:asciiTheme="minorHAnsi" w:hAnsiTheme="minorHAnsi"/>
          <w:highlight w:val="yellow"/>
        </w:rPr>
        <w:t>.  If the CES referral sources denies or rejects a referral, the reason for the referral must be noted in HMIS.</w:t>
      </w:r>
      <w:r w:rsidR="004C7B94" w:rsidRPr="00B5286A">
        <w:rPr>
          <w:rFonts w:asciiTheme="minorHAnsi" w:hAnsiTheme="minorHAnsi"/>
          <w:highlight w:val="yellow"/>
        </w:rPr>
        <w:t xml:space="preserve"> See Policy regarding referral rejection</w:t>
      </w:r>
    </w:p>
    <w:p w:rsidR="00CF5DAA" w:rsidRPr="00B5286A" w:rsidRDefault="00CF5DAA" w:rsidP="0091517D">
      <w:pPr>
        <w:rPr>
          <w:highlight w:val="yellow"/>
        </w:rPr>
      </w:pPr>
    </w:p>
    <w:p w:rsidR="00E534A2" w:rsidRPr="00B5286A" w:rsidRDefault="00E534A2" w:rsidP="0091517D">
      <w:proofErr w:type="spellStart"/>
      <w:r w:rsidRPr="00B5286A">
        <w:rPr>
          <w:highlight w:val="yellow"/>
        </w:rPr>
        <w:t>CoCs</w:t>
      </w:r>
      <w:proofErr w:type="spellEnd"/>
      <w:r w:rsidRPr="00B5286A">
        <w:rPr>
          <w:highlight w:val="yellow"/>
        </w:rPr>
        <w:t xml:space="preserve"> may independently explore and utilize other HMIS functions and services in support of CES operations (e.g. Referral Point)</w:t>
      </w:r>
    </w:p>
    <w:p w:rsidR="00E534A2" w:rsidRPr="00B5286A" w:rsidRDefault="00E534A2" w:rsidP="0091517D">
      <w:pPr>
        <w:rPr>
          <w:color w:val="1F497D"/>
        </w:rPr>
      </w:pPr>
    </w:p>
    <w:p w:rsidR="00CF5DAA" w:rsidRPr="00B5286A" w:rsidRDefault="00E320BB" w:rsidP="0091517D">
      <w:pPr>
        <w:rPr>
          <w:b/>
          <w:color w:val="1F497D"/>
        </w:rPr>
      </w:pPr>
      <w:r w:rsidRPr="00B5286A">
        <w:rPr>
          <w:b/>
          <w:color w:val="1F497D"/>
        </w:rPr>
        <w:t>Mainstream services</w:t>
      </w:r>
    </w:p>
    <w:p w:rsidR="00CF5DAA" w:rsidRPr="00B5286A" w:rsidRDefault="004B617C" w:rsidP="0091517D">
      <w:r w:rsidRPr="00B5286A">
        <w:t xml:space="preserve">Each </w:t>
      </w:r>
      <w:proofErr w:type="spellStart"/>
      <w:r w:rsidRPr="00B5286A">
        <w:t>CoC</w:t>
      </w:r>
      <w:proofErr w:type="spellEnd"/>
      <w:r w:rsidRPr="00B5286A">
        <w:t xml:space="preserve"> must implement a screening protocol to assess each client’s potential eligibility for the following mainstream resources or services:</w:t>
      </w:r>
    </w:p>
    <w:p w:rsidR="00824524" w:rsidRPr="00B5286A" w:rsidRDefault="00824524" w:rsidP="004B617C">
      <w:pPr>
        <w:pStyle w:val="ListParagraph"/>
        <w:numPr>
          <w:ilvl w:val="0"/>
          <w:numId w:val="13"/>
        </w:numPr>
        <w:rPr>
          <w:rFonts w:asciiTheme="minorHAnsi" w:hAnsiTheme="minorHAnsi"/>
        </w:rPr>
      </w:pPr>
      <w:r w:rsidRPr="00B5286A">
        <w:rPr>
          <w:rFonts w:asciiTheme="minorHAnsi" w:hAnsiTheme="minorHAnsi"/>
        </w:rPr>
        <w:t>Housing</w:t>
      </w:r>
    </w:p>
    <w:p w:rsidR="004B617C" w:rsidRPr="00B5286A" w:rsidRDefault="00824524" w:rsidP="004B617C">
      <w:pPr>
        <w:pStyle w:val="ListParagraph"/>
        <w:numPr>
          <w:ilvl w:val="0"/>
          <w:numId w:val="13"/>
        </w:numPr>
        <w:rPr>
          <w:rFonts w:asciiTheme="minorHAnsi" w:hAnsiTheme="minorHAnsi"/>
        </w:rPr>
      </w:pPr>
      <w:r w:rsidRPr="00B5286A">
        <w:rPr>
          <w:rFonts w:asciiTheme="minorHAnsi" w:hAnsiTheme="minorHAnsi"/>
        </w:rPr>
        <w:t>Medical benefits</w:t>
      </w:r>
      <w:bookmarkStart w:id="0" w:name="_GoBack"/>
      <w:bookmarkEnd w:id="0"/>
    </w:p>
    <w:p w:rsidR="00BD0CC9" w:rsidRPr="00B5286A" w:rsidRDefault="00BE2D4A" w:rsidP="004B617C">
      <w:pPr>
        <w:pStyle w:val="ListParagraph"/>
        <w:numPr>
          <w:ilvl w:val="0"/>
          <w:numId w:val="13"/>
        </w:numPr>
        <w:rPr>
          <w:rFonts w:asciiTheme="minorHAnsi" w:hAnsiTheme="minorHAnsi"/>
        </w:rPr>
      </w:pPr>
      <w:r w:rsidRPr="00B5286A">
        <w:rPr>
          <w:rFonts w:asciiTheme="minorHAnsi" w:hAnsiTheme="minorHAnsi"/>
        </w:rPr>
        <w:t>Nutrition assistance</w:t>
      </w:r>
    </w:p>
    <w:p w:rsidR="00BD0CC9" w:rsidRPr="00B5286A" w:rsidRDefault="00BD0CC9" w:rsidP="004B617C">
      <w:pPr>
        <w:pStyle w:val="ListParagraph"/>
        <w:numPr>
          <w:ilvl w:val="0"/>
          <w:numId w:val="13"/>
        </w:numPr>
        <w:rPr>
          <w:rFonts w:asciiTheme="minorHAnsi" w:hAnsiTheme="minorHAnsi"/>
        </w:rPr>
      </w:pPr>
      <w:r w:rsidRPr="00B5286A">
        <w:rPr>
          <w:rFonts w:asciiTheme="minorHAnsi" w:hAnsiTheme="minorHAnsi"/>
        </w:rPr>
        <w:t xml:space="preserve">Income </w:t>
      </w:r>
      <w:r w:rsidR="00BE2D4A" w:rsidRPr="00B5286A">
        <w:rPr>
          <w:rFonts w:asciiTheme="minorHAnsi" w:hAnsiTheme="minorHAnsi"/>
        </w:rPr>
        <w:t>s</w:t>
      </w:r>
      <w:r w:rsidRPr="00B5286A">
        <w:rPr>
          <w:rFonts w:asciiTheme="minorHAnsi" w:hAnsiTheme="minorHAnsi"/>
        </w:rPr>
        <w:t>upports</w:t>
      </w:r>
    </w:p>
    <w:p w:rsidR="00CF5DAA" w:rsidRPr="00B5286A" w:rsidRDefault="00CF5DAA" w:rsidP="0091517D">
      <w:pPr>
        <w:rPr>
          <w:color w:val="1F497D"/>
        </w:rPr>
      </w:pPr>
    </w:p>
    <w:p w:rsidR="00CF5DAA" w:rsidRPr="00B5286A" w:rsidRDefault="00E320BB" w:rsidP="0091517D">
      <w:pPr>
        <w:rPr>
          <w:b/>
          <w:color w:val="1F497D"/>
        </w:rPr>
      </w:pPr>
      <w:r w:rsidRPr="00B5286A">
        <w:rPr>
          <w:b/>
          <w:color w:val="1F497D"/>
        </w:rPr>
        <w:lastRenderedPageBreak/>
        <w:t>Assessment Tool</w:t>
      </w:r>
    </w:p>
    <w:p w:rsidR="00CF5DAA" w:rsidRPr="00005488" w:rsidRDefault="008A662B" w:rsidP="0091517D">
      <w:pPr>
        <w:rPr>
          <w:color w:val="000000" w:themeColor="text1"/>
        </w:rPr>
      </w:pPr>
      <w:r w:rsidRPr="00005488">
        <w:rPr>
          <w:color w:val="000000" w:themeColor="text1"/>
        </w:rPr>
        <w:t xml:space="preserve">Each </w:t>
      </w:r>
      <w:proofErr w:type="spellStart"/>
      <w:r w:rsidRPr="00005488">
        <w:rPr>
          <w:color w:val="000000" w:themeColor="text1"/>
        </w:rPr>
        <w:t>CoC</w:t>
      </w:r>
      <w:proofErr w:type="spellEnd"/>
      <w:r w:rsidRPr="00005488">
        <w:rPr>
          <w:color w:val="000000" w:themeColor="text1"/>
        </w:rPr>
        <w:t xml:space="preserve"> will develop a universal assessment tool for use in managing the client intake, assessment, and referral process. The standard tool may be customized by each individual </w:t>
      </w:r>
      <w:proofErr w:type="spellStart"/>
      <w:r w:rsidRPr="00005488">
        <w:rPr>
          <w:color w:val="000000" w:themeColor="text1"/>
        </w:rPr>
        <w:t>CoC</w:t>
      </w:r>
      <w:proofErr w:type="spellEnd"/>
      <w:r w:rsidRPr="00005488">
        <w:rPr>
          <w:color w:val="000000" w:themeColor="text1"/>
        </w:rPr>
        <w:t xml:space="preserve"> project with additional program-specific assessment questions and response categories necessary to address the unique aspects and needs of individual programs.  All assessment tools will use the </w:t>
      </w:r>
      <w:r w:rsidR="006E47E7" w:rsidRPr="00005488">
        <w:rPr>
          <w:color w:val="000000" w:themeColor="text1"/>
        </w:rPr>
        <w:t>VI-</w:t>
      </w:r>
      <w:r w:rsidRPr="00005488">
        <w:rPr>
          <w:color w:val="000000" w:themeColor="text1"/>
        </w:rPr>
        <w:t>SPDAT question and scoring paradigm to assist with documenting clients’ needs and prioritizing services</w:t>
      </w:r>
    </w:p>
    <w:p w:rsidR="008A662B" w:rsidRPr="00B5286A" w:rsidRDefault="008A662B" w:rsidP="0091517D">
      <w:pPr>
        <w:rPr>
          <w:color w:val="1F497D"/>
        </w:rPr>
      </w:pPr>
    </w:p>
    <w:p w:rsidR="00CF5DAA" w:rsidRPr="00B5286A" w:rsidRDefault="00E320BB" w:rsidP="0091517D">
      <w:pPr>
        <w:rPr>
          <w:b/>
          <w:color w:val="1F497D"/>
        </w:rPr>
      </w:pPr>
      <w:r w:rsidRPr="00B5286A">
        <w:rPr>
          <w:b/>
          <w:color w:val="1F497D"/>
        </w:rPr>
        <w:t>Assessment Process</w:t>
      </w:r>
    </w:p>
    <w:p w:rsidR="00E320BB" w:rsidRPr="00005488" w:rsidRDefault="005F2A45" w:rsidP="00F37E8E">
      <w:pPr>
        <w:rPr>
          <w:color w:val="000000" w:themeColor="text1"/>
        </w:rPr>
      </w:pPr>
      <w:proofErr w:type="spellStart"/>
      <w:r w:rsidRPr="00005488">
        <w:rPr>
          <w:color w:val="000000" w:themeColor="text1"/>
        </w:rPr>
        <w:t>CoCs</w:t>
      </w:r>
      <w:proofErr w:type="spellEnd"/>
      <w:r w:rsidRPr="00005488">
        <w:rPr>
          <w:color w:val="000000" w:themeColor="text1"/>
        </w:rPr>
        <w:t xml:space="preserve"> will employ a </w:t>
      </w:r>
      <w:r w:rsidR="005F3B23" w:rsidRPr="00005488">
        <w:rPr>
          <w:color w:val="000000" w:themeColor="text1"/>
        </w:rPr>
        <w:t>progressive assessment approach.  Progressive assessment stages the asking and sequencing of assessment questions such that prospective program participants are asked only those questions directly related to service enrollment and prioritization decisions</w:t>
      </w:r>
      <w:r w:rsidR="00005488" w:rsidRPr="00005488">
        <w:rPr>
          <w:color w:val="000000" w:themeColor="text1"/>
        </w:rPr>
        <w:t xml:space="preserve"> necessary to progress the participant to the next stage of assessment or determine a referral to a service strategy</w:t>
      </w:r>
      <w:r w:rsidR="005F3B23" w:rsidRPr="00005488">
        <w:rPr>
          <w:color w:val="000000" w:themeColor="text1"/>
        </w:rPr>
        <w:t xml:space="preserve">.  </w:t>
      </w:r>
    </w:p>
    <w:p w:rsidR="00F37E8E" w:rsidRPr="00B5286A" w:rsidRDefault="00F37E8E">
      <w:pPr>
        <w:rPr>
          <w:highlight w:val="yellow"/>
        </w:rPr>
      </w:pPr>
    </w:p>
    <w:p w:rsidR="00623AEA" w:rsidRPr="00B5286A" w:rsidRDefault="00623AEA">
      <w:pPr>
        <w:rPr>
          <w:b/>
          <w:color w:val="1F497D" w:themeColor="text2"/>
        </w:rPr>
      </w:pPr>
      <w:r w:rsidRPr="00B5286A">
        <w:rPr>
          <w:b/>
          <w:color w:val="1F497D" w:themeColor="text2"/>
        </w:rPr>
        <w:t xml:space="preserve">Monitoring </w:t>
      </w:r>
      <w:r w:rsidR="00D34F1C" w:rsidRPr="00B5286A">
        <w:rPr>
          <w:b/>
          <w:color w:val="1F497D" w:themeColor="text2"/>
        </w:rPr>
        <w:t xml:space="preserve">and Reporting </w:t>
      </w:r>
      <w:r w:rsidRPr="00B5286A">
        <w:rPr>
          <w:b/>
          <w:color w:val="1F497D" w:themeColor="text2"/>
        </w:rPr>
        <w:t>of CES</w:t>
      </w:r>
    </w:p>
    <w:p w:rsidR="00623AEA" w:rsidRPr="008E4BDD" w:rsidRDefault="00623AEA">
      <w:pPr>
        <w:rPr>
          <w:color w:val="000000" w:themeColor="text1"/>
        </w:rPr>
      </w:pPr>
      <w:r w:rsidRPr="008E4BDD">
        <w:rPr>
          <w:color w:val="000000" w:themeColor="text1"/>
        </w:rPr>
        <w:t xml:space="preserve">All </w:t>
      </w:r>
      <w:proofErr w:type="spellStart"/>
      <w:r w:rsidRPr="008E4BDD">
        <w:rPr>
          <w:color w:val="000000" w:themeColor="text1"/>
        </w:rPr>
        <w:t>CoC’s</w:t>
      </w:r>
      <w:proofErr w:type="spellEnd"/>
      <w:r w:rsidRPr="008E4BDD">
        <w:rPr>
          <w:color w:val="000000" w:themeColor="text1"/>
        </w:rPr>
        <w:t xml:space="preserve"> must </w:t>
      </w:r>
      <w:r w:rsidR="00F37E8E" w:rsidRPr="008E4BDD">
        <w:rPr>
          <w:color w:val="000000" w:themeColor="text1"/>
        </w:rPr>
        <w:t>adhere to a</w:t>
      </w:r>
      <w:r w:rsidRPr="008E4BDD">
        <w:rPr>
          <w:color w:val="000000" w:themeColor="text1"/>
        </w:rPr>
        <w:t xml:space="preserve"> state-defined </w:t>
      </w:r>
      <w:r w:rsidR="00D34F1C" w:rsidRPr="008E4BDD">
        <w:rPr>
          <w:color w:val="000000" w:themeColor="text1"/>
        </w:rPr>
        <w:t>monitoring and reporting</w:t>
      </w:r>
      <w:r w:rsidRPr="008E4BDD">
        <w:rPr>
          <w:color w:val="000000" w:themeColor="text1"/>
        </w:rPr>
        <w:t xml:space="preserve"> plan for CES</w:t>
      </w:r>
      <w:r w:rsidR="00F37E8E" w:rsidRPr="008E4BDD">
        <w:rPr>
          <w:color w:val="000000" w:themeColor="text1"/>
        </w:rPr>
        <w:t xml:space="preserve">.  The State-defined </w:t>
      </w:r>
      <w:r w:rsidR="00D34F1C" w:rsidRPr="008E4BDD">
        <w:rPr>
          <w:color w:val="000000" w:themeColor="text1"/>
        </w:rPr>
        <w:t>monitoring</w:t>
      </w:r>
      <w:r w:rsidR="00F37E8E" w:rsidRPr="008E4BDD">
        <w:rPr>
          <w:color w:val="000000" w:themeColor="text1"/>
        </w:rPr>
        <w:t xml:space="preserve"> process will </w:t>
      </w:r>
      <w:proofErr w:type="spellStart"/>
      <w:r w:rsidR="00D34F1C" w:rsidRPr="008E4BDD">
        <w:rPr>
          <w:color w:val="000000" w:themeColor="text1"/>
        </w:rPr>
        <w:t>reporton</w:t>
      </w:r>
      <w:proofErr w:type="spellEnd"/>
      <w:r w:rsidR="00F37E8E" w:rsidRPr="008E4BDD">
        <w:rPr>
          <w:color w:val="000000" w:themeColor="text1"/>
        </w:rPr>
        <w:t xml:space="preserve"> performance objectives related to CES </w:t>
      </w:r>
      <w:r w:rsidR="008E4BDD" w:rsidRPr="008E4BDD">
        <w:rPr>
          <w:color w:val="000000" w:themeColor="text1"/>
        </w:rPr>
        <w:t>utilization, efficiency and effectiveness.</w:t>
      </w:r>
    </w:p>
    <w:p w:rsidR="006E47E7" w:rsidRPr="008E4BDD" w:rsidRDefault="006E47E7">
      <w:pPr>
        <w:rPr>
          <w:color w:val="000000" w:themeColor="text1"/>
        </w:rPr>
      </w:pPr>
    </w:p>
    <w:p w:rsidR="008E4BDD" w:rsidRPr="008E4BDD" w:rsidRDefault="008E4BDD">
      <w:pPr>
        <w:rPr>
          <w:color w:val="000000" w:themeColor="text1"/>
        </w:rPr>
      </w:pPr>
      <w:r w:rsidRPr="008E4BDD">
        <w:rPr>
          <w:color w:val="000000" w:themeColor="text1"/>
        </w:rPr>
        <w:t>The State of Minnesota CES Reporting Requirements will include the following</w:t>
      </w:r>
      <w:r>
        <w:rPr>
          <w:color w:val="000000" w:themeColor="text1"/>
        </w:rPr>
        <w:t xml:space="preserve"> elements to be reported annually by each </w:t>
      </w:r>
      <w:proofErr w:type="spellStart"/>
      <w:r>
        <w:rPr>
          <w:color w:val="000000" w:themeColor="text1"/>
        </w:rPr>
        <w:t>CoC</w:t>
      </w:r>
      <w:proofErr w:type="spellEnd"/>
      <w:r w:rsidRPr="008E4BDD">
        <w:rPr>
          <w:color w:val="000000" w:themeColor="text1"/>
        </w:rPr>
        <w:t>:</w:t>
      </w:r>
    </w:p>
    <w:p w:rsidR="008E4BDD" w:rsidRPr="008E4BDD" w:rsidRDefault="008E4BDD" w:rsidP="008E4BDD">
      <w:pPr>
        <w:pStyle w:val="ListParagraph"/>
        <w:numPr>
          <w:ilvl w:val="0"/>
          <w:numId w:val="18"/>
        </w:numPr>
        <w:rPr>
          <w:color w:val="000000" w:themeColor="text1"/>
          <w:highlight w:val="yellow"/>
        </w:rPr>
      </w:pPr>
      <w:r w:rsidRPr="008E4BDD">
        <w:rPr>
          <w:color w:val="000000" w:themeColor="text1"/>
          <w:highlight w:val="yellow"/>
        </w:rPr>
        <w:t>Narrative description of the</w:t>
      </w:r>
      <w:r w:rsidR="006E47E7" w:rsidRPr="008E4BDD">
        <w:rPr>
          <w:color w:val="000000" w:themeColor="text1"/>
          <w:highlight w:val="yellow"/>
        </w:rPr>
        <w:t xml:space="preserve"> status of CES implementation</w:t>
      </w:r>
      <w:r w:rsidRPr="008E4BDD">
        <w:rPr>
          <w:color w:val="000000" w:themeColor="text1"/>
          <w:highlight w:val="yellow"/>
        </w:rPr>
        <w:t>, barriers and challenges experienced, and plans for expansion and improvements in the future</w:t>
      </w:r>
    </w:p>
    <w:p w:rsidR="008E4BDD" w:rsidRDefault="008E4BDD" w:rsidP="008E4BDD">
      <w:pPr>
        <w:pStyle w:val="ListParagraph"/>
        <w:numPr>
          <w:ilvl w:val="0"/>
          <w:numId w:val="19"/>
        </w:numPr>
        <w:rPr>
          <w:color w:val="000000" w:themeColor="text1"/>
          <w:highlight w:val="yellow"/>
        </w:rPr>
      </w:pPr>
      <w:r>
        <w:rPr>
          <w:color w:val="000000" w:themeColor="text1"/>
          <w:highlight w:val="yellow"/>
        </w:rPr>
        <w:t>CES p</w:t>
      </w:r>
      <w:r w:rsidR="006E47E7" w:rsidRPr="008E4BDD">
        <w:rPr>
          <w:color w:val="000000" w:themeColor="text1"/>
          <w:highlight w:val="yellow"/>
        </w:rPr>
        <w:t>erformance indicators will include the following:</w:t>
      </w:r>
    </w:p>
    <w:p w:rsidR="006E47E7" w:rsidRPr="008E4BDD" w:rsidRDefault="006E47E7" w:rsidP="008E4BDD">
      <w:pPr>
        <w:pStyle w:val="ListParagraph"/>
        <w:numPr>
          <w:ilvl w:val="1"/>
          <w:numId w:val="19"/>
        </w:numPr>
        <w:rPr>
          <w:color w:val="000000" w:themeColor="text1"/>
          <w:highlight w:val="yellow"/>
        </w:rPr>
      </w:pPr>
      <w:r w:rsidRPr="008E4BDD">
        <w:rPr>
          <w:rFonts w:asciiTheme="minorHAnsi" w:hAnsiTheme="minorHAnsi"/>
          <w:color w:val="000000" w:themeColor="text1"/>
          <w:highlight w:val="yellow"/>
        </w:rPr>
        <w:t>Number of persons and individuals receiving</w:t>
      </w:r>
      <w:r w:rsidR="00372DC0" w:rsidRPr="008E4BDD">
        <w:rPr>
          <w:rFonts w:asciiTheme="minorHAnsi" w:hAnsiTheme="minorHAnsi"/>
          <w:color w:val="000000" w:themeColor="text1"/>
          <w:highlight w:val="yellow"/>
        </w:rPr>
        <w:t xml:space="preserve"> CES services </w:t>
      </w:r>
    </w:p>
    <w:p w:rsidR="00372DC0" w:rsidRPr="008E4BDD" w:rsidRDefault="00372DC0" w:rsidP="008E4BDD">
      <w:pPr>
        <w:pStyle w:val="ListParagraph"/>
        <w:numPr>
          <w:ilvl w:val="1"/>
          <w:numId w:val="21"/>
        </w:numPr>
        <w:spacing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Number seeking assistance/referred to CES</w:t>
      </w:r>
    </w:p>
    <w:p w:rsidR="00372DC0" w:rsidRPr="008E4BDD" w:rsidRDefault="00372DC0" w:rsidP="008E4BDD">
      <w:pPr>
        <w:pStyle w:val="ListParagraph"/>
        <w:numPr>
          <w:ilvl w:val="1"/>
          <w:numId w:val="21"/>
        </w:numPr>
        <w:spacing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Number completing initial triage/diversion screen</w:t>
      </w:r>
    </w:p>
    <w:p w:rsidR="00372DC0" w:rsidRPr="008E4BDD" w:rsidRDefault="00372DC0" w:rsidP="008E4BDD">
      <w:pPr>
        <w:pStyle w:val="ListParagraph"/>
        <w:numPr>
          <w:ilvl w:val="1"/>
          <w:numId w:val="21"/>
        </w:numPr>
        <w:spacing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Number completing client intake/assessment</w:t>
      </w:r>
    </w:p>
    <w:p w:rsidR="008E4BDD" w:rsidRDefault="00372DC0" w:rsidP="008E4BDD">
      <w:pPr>
        <w:pStyle w:val="ListParagraph"/>
        <w:numPr>
          <w:ilvl w:val="1"/>
          <w:numId w:val="21"/>
        </w:numPr>
        <w:spacing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Number completing comprehensive/housing assessment</w:t>
      </w:r>
    </w:p>
    <w:p w:rsidR="008E4BDD" w:rsidRDefault="006E47E7" w:rsidP="008E4BDD">
      <w:pPr>
        <w:pStyle w:val="ListParagraph"/>
        <w:numPr>
          <w:ilvl w:val="0"/>
          <w:numId w:val="21"/>
        </w:numPr>
        <w:spacing w:line="276" w:lineRule="auto"/>
        <w:ind w:left="1440"/>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 xml:space="preserve">Demographics and </w:t>
      </w:r>
      <w:r w:rsidR="00372DC0" w:rsidRPr="008E4BDD">
        <w:rPr>
          <w:rFonts w:asciiTheme="minorHAnsi" w:hAnsiTheme="minorHAnsi"/>
          <w:color w:val="000000" w:themeColor="text1"/>
          <w:highlight w:val="yellow"/>
        </w:rPr>
        <w:t>attributes of persons/households</w:t>
      </w:r>
      <w:r w:rsidRPr="008E4BDD">
        <w:rPr>
          <w:rFonts w:asciiTheme="minorHAnsi" w:hAnsiTheme="minorHAnsi"/>
          <w:color w:val="000000" w:themeColor="text1"/>
          <w:highlight w:val="yellow"/>
        </w:rPr>
        <w:t xml:space="preserve"> receiving </w:t>
      </w:r>
      <w:r w:rsidR="00372DC0" w:rsidRPr="008E4BDD">
        <w:rPr>
          <w:rFonts w:asciiTheme="minorHAnsi" w:hAnsiTheme="minorHAnsi"/>
          <w:color w:val="000000" w:themeColor="text1"/>
          <w:highlight w:val="yellow"/>
        </w:rPr>
        <w:t xml:space="preserve">CES </w:t>
      </w:r>
      <w:r w:rsidRPr="008E4BDD">
        <w:rPr>
          <w:rFonts w:asciiTheme="minorHAnsi" w:hAnsiTheme="minorHAnsi"/>
          <w:color w:val="000000" w:themeColor="text1"/>
          <w:highlight w:val="yellow"/>
        </w:rPr>
        <w:t>assistance</w:t>
      </w:r>
      <w:r w:rsidR="008E4BDD">
        <w:rPr>
          <w:rFonts w:asciiTheme="minorHAnsi" w:hAnsiTheme="minorHAnsi"/>
          <w:color w:val="000000" w:themeColor="text1"/>
          <w:highlight w:val="yellow"/>
        </w:rPr>
        <w:t xml:space="preserve"> (from 1d above)</w:t>
      </w:r>
    </w:p>
    <w:p w:rsidR="008E4BDD" w:rsidRDefault="00D34F1C" w:rsidP="008E4BDD">
      <w:pPr>
        <w:pStyle w:val="ListParagraph"/>
        <w:numPr>
          <w:ilvl w:val="0"/>
          <w:numId w:val="21"/>
        </w:numPr>
        <w:spacing w:line="276" w:lineRule="auto"/>
        <w:ind w:left="1440"/>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Number of persons and individuals by VI-SPDAT score</w:t>
      </w:r>
    </w:p>
    <w:p w:rsidR="006E47E7" w:rsidRPr="008E4BDD" w:rsidRDefault="00372DC0" w:rsidP="008E4BDD">
      <w:pPr>
        <w:pStyle w:val="ListParagraph"/>
        <w:numPr>
          <w:ilvl w:val="0"/>
          <w:numId w:val="21"/>
        </w:numPr>
        <w:spacing w:line="276" w:lineRule="auto"/>
        <w:ind w:left="1440"/>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Number of persons and individuals receiving CES referrals</w:t>
      </w:r>
      <w:r w:rsidR="008E4BDD">
        <w:rPr>
          <w:rFonts w:asciiTheme="minorHAnsi" w:hAnsiTheme="minorHAnsi"/>
          <w:color w:val="000000" w:themeColor="text1"/>
          <w:highlight w:val="yellow"/>
        </w:rPr>
        <w:t xml:space="preserve"> to the following</w:t>
      </w:r>
    </w:p>
    <w:p w:rsidR="00372DC0" w:rsidRPr="008E4BDD" w:rsidRDefault="00372DC0" w:rsidP="008E4BDD">
      <w:pPr>
        <w:pStyle w:val="ListParagraph"/>
        <w:numPr>
          <w:ilvl w:val="1"/>
          <w:numId w:val="22"/>
        </w:numPr>
        <w:spacing w:after="200"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Self-Resolve</w:t>
      </w:r>
    </w:p>
    <w:p w:rsidR="00372DC0" w:rsidRPr="008E4BDD" w:rsidRDefault="00372DC0" w:rsidP="008E4BDD">
      <w:pPr>
        <w:pStyle w:val="ListParagraph"/>
        <w:numPr>
          <w:ilvl w:val="1"/>
          <w:numId w:val="22"/>
        </w:numPr>
        <w:spacing w:after="200"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 xml:space="preserve">Rapid </w:t>
      </w:r>
      <w:proofErr w:type="spellStart"/>
      <w:r w:rsidRPr="008E4BDD">
        <w:rPr>
          <w:rFonts w:asciiTheme="minorHAnsi" w:hAnsiTheme="minorHAnsi"/>
          <w:color w:val="000000" w:themeColor="text1"/>
          <w:highlight w:val="yellow"/>
        </w:rPr>
        <w:t>Rehousing</w:t>
      </w:r>
      <w:proofErr w:type="spellEnd"/>
    </w:p>
    <w:p w:rsidR="00372DC0" w:rsidRPr="008E4BDD" w:rsidRDefault="00372DC0" w:rsidP="008E4BDD">
      <w:pPr>
        <w:pStyle w:val="ListParagraph"/>
        <w:numPr>
          <w:ilvl w:val="1"/>
          <w:numId w:val="22"/>
        </w:numPr>
        <w:spacing w:after="200"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Transitional Housing</w:t>
      </w:r>
    </w:p>
    <w:p w:rsidR="00372DC0" w:rsidRPr="008E4BDD" w:rsidRDefault="00372DC0" w:rsidP="008E4BDD">
      <w:pPr>
        <w:pStyle w:val="ListParagraph"/>
        <w:numPr>
          <w:ilvl w:val="1"/>
          <w:numId w:val="22"/>
        </w:numPr>
        <w:spacing w:after="200"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Permanent Supportive Housing</w:t>
      </w:r>
    </w:p>
    <w:p w:rsidR="008E4BDD" w:rsidRDefault="00372DC0" w:rsidP="008E4BDD">
      <w:pPr>
        <w:pStyle w:val="ListParagraph"/>
        <w:numPr>
          <w:ilvl w:val="1"/>
          <w:numId w:val="22"/>
        </w:numPr>
        <w:spacing w:after="200"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All other</w:t>
      </w:r>
    </w:p>
    <w:p w:rsidR="00372DC0" w:rsidRPr="008E4BDD" w:rsidRDefault="00372DC0" w:rsidP="008E4BDD">
      <w:pPr>
        <w:pStyle w:val="ListParagraph"/>
        <w:numPr>
          <w:ilvl w:val="0"/>
          <w:numId w:val="21"/>
        </w:numPr>
        <w:spacing w:after="200" w:line="276" w:lineRule="auto"/>
        <w:ind w:left="1440"/>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Destination of persons and individuals to each service strategy as a result of CES referral</w:t>
      </w:r>
    </w:p>
    <w:p w:rsidR="00372DC0" w:rsidRPr="008E4BDD" w:rsidRDefault="00372DC0" w:rsidP="008E4BDD">
      <w:pPr>
        <w:pStyle w:val="ListParagraph"/>
        <w:numPr>
          <w:ilvl w:val="1"/>
          <w:numId w:val="23"/>
        </w:numPr>
        <w:spacing w:after="200"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 xml:space="preserve">Rapid </w:t>
      </w:r>
      <w:proofErr w:type="spellStart"/>
      <w:r w:rsidRPr="008E4BDD">
        <w:rPr>
          <w:rFonts w:asciiTheme="minorHAnsi" w:hAnsiTheme="minorHAnsi"/>
          <w:color w:val="000000" w:themeColor="text1"/>
          <w:highlight w:val="yellow"/>
        </w:rPr>
        <w:t>Rehousing</w:t>
      </w:r>
      <w:proofErr w:type="spellEnd"/>
    </w:p>
    <w:p w:rsidR="00372DC0" w:rsidRPr="008E4BDD" w:rsidRDefault="00372DC0" w:rsidP="008E4BDD">
      <w:pPr>
        <w:pStyle w:val="ListParagraph"/>
        <w:numPr>
          <w:ilvl w:val="1"/>
          <w:numId w:val="23"/>
        </w:numPr>
        <w:spacing w:after="200"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Transitional Housing</w:t>
      </w:r>
    </w:p>
    <w:p w:rsidR="00372DC0" w:rsidRDefault="00372DC0" w:rsidP="008E4BDD">
      <w:pPr>
        <w:pStyle w:val="ListParagraph"/>
        <w:numPr>
          <w:ilvl w:val="1"/>
          <w:numId w:val="23"/>
        </w:numPr>
        <w:spacing w:after="200" w:line="276" w:lineRule="auto"/>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Permanent Supportive Housing</w:t>
      </w:r>
    </w:p>
    <w:p w:rsidR="008E4BDD" w:rsidRDefault="008E4BDD" w:rsidP="008E4BDD">
      <w:pPr>
        <w:pStyle w:val="ListParagraph"/>
        <w:numPr>
          <w:ilvl w:val="1"/>
          <w:numId w:val="23"/>
        </w:numPr>
        <w:spacing w:after="200" w:line="276" w:lineRule="auto"/>
        <w:contextualSpacing/>
        <w:rPr>
          <w:rFonts w:asciiTheme="minorHAnsi" w:hAnsiTheme="minorHAnsi"/>
          <w:color w:val="000000" w:themeColor="text1"/>
          <w:highlight w:val="yellow"/>
        </w:rPr>
      </w:pPr>
      <w:r>
        <w:rPr>
          <w:rFonts w:asciiTheme="minorHAnsi" w:hAnsiTheme="minorHAnsi"/>
          <w:color w:val="000000" w:themeColor="text1"/>
          <w:highlight w:val="yellow"/>
        </w:rPr>
        <w:t>All other</w:t>
      </w:r>
    </w:p>
    <w:p w:rsidR="008E4BDD" w:rsidRDefault="006E47E7" w:rsidP="008E4BDD">
      <w:pPr>
        <w:pStyle w:val="ListParagraph"/>
        <w:numPr>
          <w:ilvl w:val="0"/>
          <w:numId w:val="21"/>
        </w:numPr>
        <w:spacing w:after="200" w:line="276" w:lineRule="auto"/>
        <w:ind w:left="1440"/>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 xml:space="preserve">Length of time </w:t>
      </w:r>
      <w:r w:rsidR="00372DC0" w:rsidRPr="008E4BDD">
        <w:rPr>
          <w:rFonts w:asciiTheme="minorHAnsi" w:hAnsiTheme="minorHAnsi"/>
          <w:color w:val="000000" w:themeColor="text1"/>
          <w:highlight w:val="yellow"/>
        </w:rPr>
        <w:t>from completion of CES comprehensive/housing assessment to program entry</w:t>
      </w:r>
    </w:p>
    <w:p w:rsidR="008E4BDD" w:rsidRDefault="008E6862" w:rsidP="008E4BDD">
      <w:pPr>
        <w:pStyle w:val="ListParagraph"/>
        <w:numPr>
          <w:ilvl w:val="1"/>
          <w:numId w:val="21"/>
        </w:numPr>
        <w:spacing w:after="200" w:line="276" w:lineRule="auto"/>
        <w:contextualSpacing/>
        <w:rPr>
          <w:rFonts w:asciiTheme="minorHAnsi" w:hAnsiTheme="minorHAnsi"/>
          <w:color w:val="000000" w:themeColor="text1"/>
          <w:highlight w:val="yellow"/>
        </w:rPr>
      </w:pPr>
      <w:r>
        <w:rPr>
          <w:rFonts w:asciiTheme="minorHAnsi" w:hAnsiTheme="minorHAnsi"/>
          <w:color w:val="000000" w:themeColor="text1"/>
          <w:highlight w:val="yellow"/>
        </w:rPr>
        <w:t>Average l</w:t>
      </w:r>
      <w:r w:rsidR="008E4BDD">
        <w:rPr>
          <w:rFonts w:asciiTheme="minorHAnsi" w:hAnsiTheme="minorHAnsi"/>
          <w:color w:val="000000" w:themeColor="text1"/>
          <w:highlight w:val="yellow"/>
        </w:rPr>
        <w:t>ength of time</w:t>
      </w:r>
      <w:r w:rsidR="00D9362A" w:rsidRPr="008E4BDD">
        <w:rPr>
          <w:rFonts w:asciiTheme="minorHAnsi" w:hAnsiTheme="minorHAnsi"/>
          <w:color w:val="000000" w:themeColor="text1"/>
          <w:highlight w:val="yellow"/>
        </w:rPr>
        <w:t xml:space="preserve"> from assessment to referral</w:t>
      </w:r>
      <w:r>
        <w:rPr>
          <w:rFonts w:asciiTheme="minorHAnsi" w:hAnsiTheme="minorHAnsi"/>
          <w:color w:val="000000" w:themeColor="text1"/>
          <w:highlight w:val="yellow"/>
        </w:rPr>
        <w:t xml:space="preserve"> for each component type</w:t>
      </w:r>
    </w:p>
    <w:p w:rsidR="008E4BDD" w:rsidRDefault="008E6862" w:rsidP="008E4BDD">
      <w:pPr>
        <w:pStyle w:val="ListParagraph"/>
        <w:numPr>
          <w:ilvl w:val="1"/>
          <w:numId w:val="21"/>
        </w:numPr>
        <w:spacing w:after="200" w:line="276" w:lineRule="auto"/>
        <w:contextualSpacing/>
        <w:rPr>
          <w:rFonts w:asciiTheme="minorHAnsi" w:hAnsiTheme="minorHAnsi"/>
          <w:color w:val="000000" w:themeColor="text1"/>
          <w:highlight w:val="yellow"/>
        </w:rPr>
      </w:pPr>
      <w:r>
        <w:rPr>
          <w:rFonts w:asciiTheme="minorHAnsi" w:hAnsiTheme="minorHAnsi"/>
          <w:color w:val="000000" w:themeColor="text1"/>
          <w:highlight w:val="yellow"/>
        </w:rPr>
        <w:lastRenderedPageBreak/>
        <w:t>Average l</w:t>
      </w:r>
      <w:r w:rsidR="008E4BDD">
        <w:rPr>
          <w:rFonts w:asciiTheme="minorHAnsi" w:hAnsiTheme="minorHAnsi"/>
          <w:color w:val="000000" w:themeColor="text1"/>
          <w:highlight w:val="yellow"/>
        </w:rPr>
        <w:t>ength of time</w:t>
      </w:r>
      <w:r w:rsidR="00D34F1C" w:rsidRPr="008E4BDD">
        <w:rPr>
          <w:rFonts w:asciiTheme="minorHAnsi" w:hAnsiTheme="minorHAnsi"/>
          <w:color w:val="000000" w:themeColor="text1"/>
          <w:highlight w:val="yellow"/>
        </w:rPr>
        <w:t xml:space="preserve"> waiting on prioritization list</w:t>
      </w:r>
      <w:r>
        <w:rPr>
          <w:rFonts w:asciiTheme="minorHAnsi" w:hAnsiTheme="minorHAnsi"/>
          <w:color w:val="000000" w:themeColor="text1"/>
          <w:highlight w:val="yellow"/>
        </w:rPr>
        <w:t xml:space="preserve"> for each component type</w:t>
      </w:r>
    </w:p>
    <w:p w:rsidR="00F37E8E" w:rsidRPr="008E6862" w:rsidRDefault="00D34F1C" w:rsidP="008E6862">
      <w:pPr>
        <w:pStyle w:val="ListParagraph"/>
        <w:numPr>
          <w:ilvl w:val="0"/>
          <w:numId w:val="21"/>
        </w:numPr>
        <w:spacing w:after="200" w:line="276" w:lineRule="auto"/>
        <w:ind w:left="1440"/>
        <w:contextualSpacing/>
        <w:rPr>
          <w:rFonts w:asciiTheme="minorHAnsi" w:hAnsiTheme="minorHAnsi"/>
          <w:color w:val="000000" w:themeColor="text1"/>
          <w:highlight w:val="yellow"/>
        </w:rPr>
      </w:pPr>
      <w:r w:rsidRPr="008E4BDD">
        <w:rPr>
          <w:rFonts w:asciiTheme="minorHAnsi" w:hAnsiTheme="minorHAnsi"/>
          <w:color w:val="000000" w:themeColor="text1"/>
          <w:highlight w:val="yellow"/>
        </w:rPr>
        <w:t xml:space="preserve">Number of persons who waited for each </w:t>
      </w:r>
      <w:proofErr w:type="spellStart"/>
      <w:r w:rsidRPr="008E4BDD">
        <w:rPr>
          <w:rFonts w:asciiTheme="minorHAnsi" w:hAnsiTheme="minorHAnsi"/>
          <w:color w:val="000000" w:themeColor="text1"/>
          <w:highlight w:val="yellow"/>
        </w:rPr>
        <w:t>CoC</w:t>
      </w:r>
      <w:proofErr w:type="spellEnd"/>
      <w:r w:rsidRPr="008E4BDD">
        <w:rPr>
          <w:rFonts w:asciiTheme="minorHAnsi" w:hAnsiTheme="minorHAnsi"/>
          <w:color w:val="000000" w:themeColor="text1"/>
          <w:highlight w:val="yellow"/>
        </w:rPr>
        <w:t xml:space="preserve"> component type for </w:t>
      </w:r>
      <w:r w:rsidR="008E6862">
        <w:rPr>
          <w:rFonts w:asciiTheme="minorHAnsi" w:hAnsiTheme="minorHAnsi"/>
          <w:color w:val="000000" w:themeColor="text1"/>
          <w:highlight w:val="yellow"/>
        </w:rPr>
        <w:t>greater than 30</w:t>
      </w:r>
      <w:r w:rsidRPr="008E4BDD">
        <w:rPr>
          <w:rFonts w:asciiTheme="minorHAnsi" w:hAnsiTheme="minorHAnsi"/>
          <w:color w:val="000000" w:themeColor="text1"/>
          <w:highlight w:val="yellow"/>
        </w:rPr>
        <w:t xml:space="preserve"> days</w:t>
      </w:r>
    </w:p>
    <w:p w:rsidR="00D34F1C" w:rsidRDefault="00D34F1C">
      <w:pPr>
        <w:rPr>
          <w:b/>
          <w:color w:val="1F497D" w:themeColor="text2"/>
        </w:rPr>
      </w:pPr>
      <w:r w:rsidRPr="00B5286A">
        <w:rPr>
          <w:b/>
          <w:color w:val="1F497D" w:themeColor="text2"/>
        </w:rPr>
        <w:t>Evaluation</w:t>
      </w:r>
    </w:p>
    <w:p w:rsidR="008E6862" w:rsidRDefault="008E6862">
      <w:pPr>
        <w:rPr>
          <w:color w:val="000000" w:themeColor="text1"/>
        </w:rPr>
      </w:pPr>
      <w:r w:rsidRPr="008E6862">
        <w:rPr>
          <w:color w:val="000000" w:themeColor="text1"/>
        </w:rPr>
        <w:t>The State of Minnesota will conduct a comprehensive system evaluation of CES to ensure that both qualitative and quantitative information are collected and used to identify opportunities for continuous system improvements.</w:t>
      </w:r>
      <w:r w:rsidR="009A2D0D">
        <w:rPr>
          <w:color w:val="000000" w:themeColor="text1"/>
        </w:rPr>
        <w:t xml:space="preserve">  Areas of inquiry will include the following:</w:t>
      </w:r>
    </w:p>
    <w:p w:rsidR="009A2D0D" w:rsidRPr="009A2D0D" w:rsidRDefault="009A2D0D">
      <w:pPr>
        <w:rPr>
          <w:b/>
          <w:color w:val="000000" w:themeColor="text1"/>
        </w:rPr>
      </w:pPr>
      <w:r w:rsidRPr="009A2D0D">
        <w:rPr>
          <w:b/>
          <w:color w:val="000000" w:themeColor="text1"/>
        </w:rPr>
        <w:t>Implementation</w:t>
      </w:r>
    </w:p>
    <w:p w:rsidR="009A2D0D" w:rsidRPr="009A2D0D" w:rsidRDefault="009A2D0D" w:rsidP="009A2D0D">
      <w:pPr>
        <w:pStyle w:val="ListParagraph"/>
        <w:numPr>
          <w:ilvl w:val="0"/>
          <w:numId w:val="19"/>
        </w:numPr>
        <w:rPr>
          <w:color w:val="000000" w:themeColor="text1"/>
        </w:rPr>
      </w:pPr>
      <w:r w:rsidRPr="009A2D0D">
        <w:rPr>
          <w:color w:val="000000" w:themeColor="text1"/>
        </w:rPr>
        <w:t xml:space="preserve">What has been the experience of </w:t>
      </w:r>
      <w:proofErr w:type="spellStart"/>
      <w:r w:rsidRPr="009A2D0D">
        <w:rPr>
          <w:color w:val="000000" w:themeColor="text1"/>
        </w:rPr>
        <w:t>CoCs</w:t>
      </w:r>
      <w:proofErr w:type="spellEnd"/>
      <w:r w:rsidRPr="009A2D0D">
        <w:rPr>
          <w:color w:val="000000" w:themeColor="text1"/>
        </w:rPr>
        <w:t xml:space="preserve"> with the CES design process?</w:t>
      </w:r>
    </w:p>
    <w:p w:rsidR="009A2D0D" w:rsidRPr="001C7EA8" w:rsidRDefault="009A2D0D" w:rsidP="009A2D0D">
      <w:pPr>
        <w:pStyle w:val="ListParagraph"/>
        <w:numPr>
          <w:ilvl w:val="0"/>
          <w:numId w:val="19"/>
        </w:numPr>
        <w:rPr>
          <w:rFonts w:asciiTheme="minorHAnsi" w:hAnsiTheme="minorHAnsi"/>
          <w:color w:val="000000" w:themeColor="text1"/>
        </w:rPr>
      </w:pPr>
      <w:r w:rsidRPr="009A2D0D">
        <w:rPr>
          <w:color w:val="000000" w:themeColor="text1"/>
        </w:rPr>
        <w:t xml:space="preserve">What refinements and adjustments </w:t>
      </w:r>
      <w:proofErr w:type="gramStart"/>
      <w:r w:rsidRPr="009A2D0D">
        <w:rPr>
          <w:color w:val="000000" w:themeColor="text1"/>
        </w:rPr>
        <w:t xml:space="preserve">have </w:t>
      </w:r>
      <w:proofErr w:type="spellStart"/>
      <w:r w:rsidRPr="009A2D0D">
        <w:rPr>
          <w:color w:val="000000" w:themeColor="text1"/>
        </w:rPr>
        <w:t>CoC</w:t>
      </w:r>
      <w:proofErr w:type="spellEnd"/>
      <w:r w:rsidRPr="009A2D0D">
        <w:rPr>
          <w:color w:val="000000" w:themeColor="text1"/>
        </w:rPr>
        <w:t xml:space="preserve"> staff</w:t>
      </w:r>
      <w:proofErr w:type="gramEnd"/>
      <w:r w:rsidRPr="009A2D0D">
        <w:rPr>
          <w:color w:val="000000" w:themeColor="text1"/>
        </w:rPr>
        <w:t xml:space="preserve"> adopted in the process of managing their CES approach?</w:t>
      </w:r>
    </w:p>
    <w:p w:rsidR="001C7EA8" w:rsidRDefault="001C7EA8" w:rsidP="001C7EA8">
      <w:pPr>
        <w:rPr>
          <w:color w:val="000000" w:themeColor="text1"/>
        </w:rPr>
      </w:pPr>
      <w:r>
        <w:rPr>
          <w:color w:val="000000" w:themeColor="text1"/>
        </w:rPr>
        <w:t>Management</w:t>
      </w:r>
    </w:p>
    <w:p w:rsidR="001C7EA8" w:rsidRDefault="001C7EA8" w:rsidP="001C7EA8">
      <w:pPr>
        <w:rPr>
          <w:color w:val="000000" w:themeColor="text1"/>
        </w:rPr>
      </w:pPr>
      <w:r>
        <w:rPr>
          <w:color w:val="000000" w:themeColor="text1"/>
        </w:rPr>
        <w:t>Outcomes</w:t>
      </w:r>
    </w:p>
    <w:p w:rsidR="001C7EA8" w:rsidRPr="001C7EA8" w:rsidRDefault="001C7EA8" w:rsidP="001C7EA8">
      <w:pPr>
        <w:rPr>
          <w:color w:val="000000" w:themeColor="text1"/>
        </w:rPr>
      </w:pPr>
      <w:r>
        <w:rPr>
          <w:color w:val="000000" w:themeColor="text1"/>
        </w:rPr>
        <w:t>Future Refinements</w:t>
      </w:r>
    </w:p>
    <w:sectPr w:rsidR="001C7EA8" w:rsidRPr="001C7EA8" w:rsidSect="00C80C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6C" w:rsidRDefault="00D9436C" w:rsidP="00535809">
      <w:r>
        <w:separator/>
      </w:r>
    </w:p>
  </w:endnote>
  <w:endnote w:type="continuationSeparator" w:id="0">
    <w:p w:rsidR="00D9436C" w:rsidRDefault="00D9436C" w:rsidP="005358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6C" w:rsidRDefault="00D9436C" w:rsidP="00535809">
      <w:r>
        <w:separator/>
      </w:r>
    </w:p>
  </w:footnote>
  <w:footnote w:type="continuationSeparator" w:id="0">
    <w:p w:rsidR="00D9436C" w:rsidRDefault="00D9436C" w:rsidP="00535809">
      <w:r>
        <w:continuationSeparator/>
      </w:r>
    </w:p>
  </w:footnote>
  <w:footnote w:id="1">
    <w:p w:rsidR="00853F5B" w:rsidRDefault="00853F5B">
      <w:pPr>
        <w:pStyle w:val="FootnoteText"/>
      </w:pPr>
      <w:r>
        <w:rPr>
          <w:rStyle w:val="FootnoteReference"/>
        </w:rPr>
        <w:footnoteRef/>
      </w:r>
      <w:r>
        <w:t xml:space="preserve"> </w:t>
      </w:r>
      <w:proofErr w:type="spellStart"/>
      <w:r>
        <w:t>CoC</w:t>
      </w:r>
      <w:proofErr w:type="spellEnd"/>
      <w:r>
        <w:t xml:space="preserve"> should justify variances to the 75% threshold (either above or below) using local data to support the difference.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434"/>
    <w:multiLevelType w:val="hybridMultilevel"/>
    <w:tmpl w:val="B936FB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833A6"/>
    <w:multiLevelType w:val="hybridMultilevel"/>
    <w:tmpl w:val="5BAC54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CE18E3"/>
    <w:multiLevelType w:val="hybridMultilevel"/>
    <w:tmpl w:val="15F22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BB5E4D"/>
    <w:multiLevelType w:val="hybridMultilevel"/>
    <w:tmpl w:val="0FA470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5C4"/>
    <w:multiLevelType w:val="hybridMultilevel"/>
    <w:tmpl w:val="8E8E4CE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4B1CD0"/>
    <w:multiLevelType w:val="hybridMultilevel"/>
    <w:tmpl w:val="3D76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F14229"/>
    <w:multiLevelType w:val="hybridMultilevel"/>
    <w:tmpl w:val="A79229E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F30C96"/>
    <w:multiLevelType w:val="hybridMultilevel"/>
    <w:tmpl w:val="22206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6307EE"/>
    <w:multiLevelType w:val="hybridMultilevel"/>
    <w:tmpl w:val="D7B0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E2345"/>
    <w:multiLevelType w:val="hybridMultilevel"/>
    <w:tmpl w:val="3F2008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CA5EC7"/>
    <w:multiLevelType w:val="hybridMultilevel"/>
    <w:tmpl w:val="6E36A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F03BF3"/>
    <w:multiLevelType w:val="hybridMultilevel"/>
    <w:tmpl w:val="9A4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3384A"/>
    <w:multiLevelType w:val="hybridMultilevel"/>
    <w:tmpl w:val="1A6C0C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19400F"/>
    <w:multiLevelType w:val="hybridMultilevel"/>
    <w:tmpl w:val="85C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6597C"/>
    <w:multiLevelType w:val="hybridMultilevel"/>
    <w:tmpl w:val="9A4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519D4"/>
    <w:multiLevelType w:val="hybridMultilevel"/>
    <w:tmpl w:val="2A0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8073D"/>
    <w:multiLevelType w:val="hybridMultilevel"/>
    <w:tmpl w:val="E1B67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150B3D"/>
    <w:multiLevelType w:val="hybridMultilevel"/>
    <w:tmpl w:val="0CFA4B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D21175"/>
    <w:multiLevelType w:val="hybridMultilevel"/>
    <w:tmpl w:val="D632B3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667061"/>
    <w:multiLevelType w:val="hybridMultilevel"/>
    <w:tmpl w:val="F5545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58136FA"/>
    <w:multiLevelType w:val="hybridMultilevel"/>
    <w:tmpl w:val="AB6E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10917"/>
    <w:multiLevelType w:val="hybridMultilevel"/>
    <w:tmpl w:val="14184B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0"/>
  </w:num>
  <w:num w:numId="7">
    <w:abstractNumId w:val="14"/>
  </w:num>
  <w:num w:numId="8">
    <w:abstractNumId w:val="2"/>
  </w:num>
  <w:num w:numId="9">
    <w:abstractNumId w:val="18"/>
  </w:num>
  <w:num w:numId="10">
    <w:abstractNumId w:val="1"/>
  </w:num>
  <w:num w:numId="11">
    <w:abstractNumId w:val="0"/>
  </w:num>
  <w:num w:numId="12">
    <w:abstractNumId w:val="5"/>
  </w:num>
  <w:num w:numId="13">
    <w:abstractNumId w:val="13"/>
  </w:num>
  <w:num w:numId="14">
    <w:abstractNumId w:val="16"/>
  </w:num>
  <w:num w:numId="15">
    <w:abstractNumId w:val="10"/>
  </w:num>
  <w:num w:numId="16">
    <w:abstractNumId w:val="11"/>
  </w:num>
  <w:num w:numId="17">
    <w:abstractNumId w:val="8"/>
  </w:num>
  <w:num w:numId="18">
    <w:abstractNumId w:val="15"/>
  </w:num>
  <w:num w:numId="19">
    <w:abstractNumId w:val="3"/>
  </w:num>
  <w:num w:numId="20">
    <w:abstractNumId w:val="6"/>
  </w:num>
  <w:num w:numId="21">
    <w:abstractNumId w:val="17"/>
  </w:num>
  <w:num w:numId="22">
    <w:abstractNumId w:val="21"/>
  </w:num>
  <w:num w:numId="23">
    <w:abstractNumId w:val="12"/>
  </w:num>
  <w:num w:numId="24">
    <w:abstractNumId w:val="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E320BB"/>
    <w:rsid w:val="00005488"/>
    <w:rsid w:val="00014612"/>
    <w:rsid w:val="00046064"/>
    <w:rsid w:val="000546DB"/>
    <w:rsid w:val="0005594D"/>
    <w:rsid w:val="000F0847"/>
    <w:rsid w:val="001C7EA8"/>
    <w:rsid w:val="00257F2E"/>
    <w:rsid w:val="002723CA"/>
    <w:rsid w:val="002A2A32"/>
    <w:rsid w:val="002D3D62"/>
    <w:rsid w:val="00316897"/>
    <w:rsid w:val="003274C6"/>
    <w:rsid w:val="00372DC0"/>
    <w:rsid w:val="00471E3E"/>
    <w:rsid w:val="004823AA"/>
    <w:rsid w:val="004A6689"/>
    <w:rsid w:val="004B617C"/>
    <w:rsid w:val="004C7B94"/>
    <w:rsid w:val="004E12E9"/>
    <w:rsid w:val="00505021"/>
    <w:rsid w:val="005148C8"/>
    <w:rsid w:val="00533B81"/>
    <w:rsid w:val="00535809"/>
    <w:rsid w:val="005B1AAB"/>
    <w:rsid w:val="005F2A45"/>
    <w:rsid w:val="005F3B23"/>
    <w:rsid w:val="005F5B25"/>
    <w:rsid w:val="00623AEA"/>
    <w:rsid w:val="006E47E7"/>
    <w:rsid w:val="0070685F"/>
    <w:rsid w:val="007D0653"/>
    <w:rsid w:val="008224B8"/>
    <w:rsid w:val="00824524"/>
    <w:rsid w:val="00845138"/>
    <w:rsid w:val="00853F5B"/>
    <w:rsid w:val="008551C0"/>
    <w:rsid w:val="0086136A"/>
    <w:rsid w:val="00871823"/>
    <w:rsid w:val="00871B50"/>
    <w:rsid w:val="008A662B"/>
    <w:rsid w:val="008D5B30"/>
    <w:rsid w:val="008D798E"/>
    <w:rsid w:val="008E4BDD"/>
    <w:rsid w:val="008E6862"/>
    <w:rsid w:val="0091517D"/>
    <w:rsid w:val="00952993"/>
    <w:rsid w:val="009572C6"/>
    <w:rsid w:val="00962D4C"/>
    <w:rsid w:val="00974999"/>
    <w:rsid w:val="009772E1"/>
    <w:rsid w:val="00985D24"/>
    <w:rsid w:val="009A2D0D"/>
    <w:rsid w:val="009A39E5"/>
    <w:rsid w:val="009B4E9A"/>
    <w:rsid w:val="009D207D"/>
    <w:rsid w:val="009E2A4D"/>
    <w:rsid w:val="00A07F8E"/>
    <w:rsid w:val="00A12414"/>
    <w:rsid w:val="00A820BA"/>
    <w:rsid w:val="00A87DD8"/>
    <w:rsid w:val="00AC1F28"/>
    <w:rsid w:val="00AD3140"/>
    <w:rsid w:val="00AD46FF"/>
    <w:rsid w:val="00AF46C4"/>
    <w:rsid w:val="00AF61D5"/>
    <w:rsid w:val="00B5286A"/>
    <w:rsid w:val="00B762A5"/>
    <w:rsid w:val="00B90A07"/>
    <w:rsid w:val="00B957E1"/>
    <w:rsid w:val="00BA0AB7"/>
    <w:rsid w:val="00BC4E14"/>
    <w:rsid w:val="00BD0CC9"/>
    <w:rsid w:val="00BE2D4A"/>
    <w:rsid w:val="00C12B65"/>
    <w:rsid w:val="00C36ECA"/>
    <w:rsid w:val="00C80C21"/>
    <w:rsid w:val="00CF5DAA"/>
    <w:rsid w:val="00D34F1C"/>
    <w:rsid w:val="00D9362A"/>
    <w:rsid w:val="00D9436C"/>
    <w:rsid w:val="00DA702E"/>
    <w:rsid w:val="00DB2DAA"/>
    <w:rsid w:val="00DD7C83"/>
    <w:rsid w:val="00E320BB"/>
    <w:rsid w:val="00E46407"/>
    <w:rsid w:val="00E534A2"/>
    <w:rsid w:val="00EB4483"/>
    <w:rsid w:val="00ED0D75"/>
    <w:rsid w:val="00F37E8E"/>
    <w:rsid w:val="00F65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BB"/>
    <w:pPr>
      <w:ind w:left="720"/>
    </w:pPr>
    <w:rPr>
      <w:rFonts w:ascii="Calibri" w:hAnsi="Calibri" w:cs="Times New Roman"/>
    </w:rPr>
  </w:style>
  <w:style w:type="paragraph" w:customStyle="1" w:styleId="Body">
    <w:name w:val="Body"/>
    <w:rsid w:val="00974999"/>
    <w:pPr>
      <w:spacing w:after="200" w:line="276" w:lineRule="auto"/>
    </w:pPr>
    <w:rPr>
      <w:rFonts w:ascii="Calibri" w:eastAsia="Calibri" w:hAnsi="Calibri" w:cs="Calibri"/>
      <w:color w:val="000000"/>
      <w:u w:color="000000"/>
    </w:rPr>
  </w:style>
  <w:style w:type="paragraph" w:styleId="EndnoteText">
    <w:name w:val="endnote text"/>
    <w:basedOn w:val="Normal"/>
    <w:link w:val="EndnoteTextChar"/>
    <w:uiPriority w:val="99"/>
    <w:semiHidden/>
    <w:unhideWhenUsed/>
    <w:rsid w:val="00535809"/>
    <w:rPr>
      <w:sz w:val="20"/>
      <w:szCs w:val="20"/>
    </w:rPr>
  </w:style>
  <w:style w:type="character" w:customStyle="1" w:styleId="EndnoteTextChar">
    <w:name w:val="Endnote Text Char"/>
    <w:basedOn w:val="DefaultParagraphFont"/>
    <w:link w:val="EndnoteText"/>
    <w:uiPriority w:val="99"/>
    <w:semiHidden/>
    <w:rsid w:val="00535809"/>
    <w:rPr>
      <w:sz w:val="20"/>
      <w:szCs w:val="20"/>
    </w:rPr>
  </w:style>
  <w:style w:type="character" w:styleId="EndnoteReference">
    <w:name w:val="endnote reference"/>
    <w:basedOn w:val="DefaultParagraphFont"/>
    <w:uiPriority w:val="99"/>
    <w:semiHidden/>
    <w:unhideWhenUsed/>
    <w:rsid w:val="00535809"/>
    <w:rPr>
      <w:vertAlign w:val="superscript"/>
    </w:rPr>
  </w:style>
  <w:style w:type="character" w:styleId="CommentReference">
    <w:name w:val="annotation reference"/>
    <w:basedOn w:val="DefaultParagraphFont"/>
    <w:uiPriority w:val="99"/>
    <w:semiHidden/>
    <w:unhideWhenUsed/>
    <w:rsid w:val="00DD7C83"/>
    <w:rPr>
      <w:sz w:val="16"/>
      <w:szCs w:val="16"/>
    </w:rPr>
  </w:style>
  <w:style w:type="paragraph" w:styleId="CommentText">
    <w:name w:val="annotation text"/>
    <w:basedOn w:val="Normal"/>
    <w:link w:val="CommentTextChar"/>
    <w:uiPriority w:val="99"/>
    <w:semiHidden/>
    <w:unhideWhenUsed/>
    <w:rsid w:val="00DD7C83"/>
    <w:rPr>
      <w:sz w:val="20"/>
      <w:szCs w:val="20"/>
    </w:rPr>
  </w:style>
  <w:style w:type="character" w:customStyle="1" w:styleId="CommentTextChar">
    <w:name w:val="Comment Text Char"/>
    <w:basedOn w:val="DefaultParagraphFont"/>
    <w:link w:val="CommentText"/>
    <w:uiPriority w:val="99"/>
    <w:semiHidden/>
    <w:rsid w:val="00DD7C83"/>
    <w:rPr>
      <w:sz w:val="20"/>
      <w:szCs w:val="20"/>
    </w:rPr>
  </w:style>
  <w:style w:type="paragraph" w:styleId="CommentSubject">
    <w:name w:val="annotation subject"/>
    <w:basedOn w:val="CommentText"/>
    <w:next w:val="CommentText"/>
    <w:link w:val="CommentSubjectChar"/>
    <w:uiPriority w:val="99"/>
    <w:semiHidden/>
    <w:unhideWhenUsed/>
    <w:rsid w:val="00DD7C83"/>
    <w:rPr>
      <w:b/>
      <w:bCs/>
    </w:rPr>
  </w:style>
  <w:style w:type="character" w:customStyle="1" w:styleId="CommentSubjectChar">
    <w:name w:val="Comment Subject Char"/>
    <w:basedOn w:val="CommentTextChar"/>
    <w:link w:val="CommentSubject"/>
    <w:uiPriority w:val="99"/>
    <w:semiHidden/>
    <w:rsid w:val="00DD7C83"/>
    <w:rPr>
      <w:b/>
      <w:bCs/>
      <w:sz w:val="20"/>
      <w:szCs w:val="20"/>
    </w:rPr>
  </w:style>
  <w:style w:type="paragraph" w:styleId="BalloonText">
    <w:name w:val="Balloon Text"/>
    <w:basedOn w:val="Normal"/>
    <w:link w:val="BalloonTextChar"/>
    <w:uiPriority w:val="99"/>
    <w:semiHidden/>
    <w:unhideWhenUsed/>
    <w:rsid w:val="00DD7C83"/>
    <w:rPr>
      <w:rFonts w:ascii="Tahoma" w:hAnsi="Tahoma" w:cs="Tahoma"/>
      <w:sz w:val="16"/>
      <w:szCs w:val="16"/>
    </w:rPr>
  </w:style>
  <w:style w:type="character" w:customStyle="1" w:styleId="BalloonTextChar">
    <w:name w:val="Balloon Text Char"/>
    <w:basedOn w:val="DefaultParagraphFont"/>
    <w:link w:val="BalloonText"/>
    <w:uiPriority w:val="99"/>
    <w:semiHidden/>
    <w:rsid w:val="00DD7C83"/>
    <w:rPr>
      <w:rFonts w:ascii="Tahoma" w:hAnsi="Tahoma" w:cs="Tahoma"/>
      <w:sz w:val="16"/>
      <w:szCs w:val="16"/>
    </w:rPr>
  </w:style>
  <w:style w:type="paragraph" w:styleId="FootnoteText">
    <w:name w:val="footnote text"/>
    <w:basedOn w:val="Normal"/>
    <w:link w:val="FootnoteTextChar"/>
    <w:uiPriority w:val="99"/>
    <w:semiHidden/>
    <w:unhideWhenUsed/>
    <w:rsid w:val="00853F5B"/>
    <w:rPr>
      <w:sz w:val="20"/>
      <w:szCs w:val="20"/>
    </w:rPr>
  </w:style>
  <w:style w:type="character" w:customStyle="1" w:styleId="FootnoteTextChar">
    <w:name w:val="Footnote Text Char"/>
    <w:basedOn w:val="DefaultParagraphFont"/>
    <w:link w:val="FootnoteText"/>
    <w:uiPriority w:val="99"/>
    <w:semiHidden/>
    <w:rsid w:val="00853F5B"/>
    <w:rPr>
      <w:sz w:val="20"/>
      <w:szCs w:val="20"/>
    </w:rPr>
  </w:style>
  <w:style w:type="character" w:styleId="FootnoteReference">
    <w:name w:val="footnote reference"/>
    <w:basedOn w:val="DefaultParagraphFont"/>
    <w:uiPriority w:val="99"/>
    <w:semiHidden/>
    <w:unhideWhenUsed/>
    <w:rsid w:val="00853F5B"/>
    <w:rPr>
      <w:vertAlign w:val="superscript"/>
    </w:rPr>
  </w:style>
  <w:style w:type="paragraph" w:customStyle="1" w:styleId="OHFProposalHeading1">
    <w:name w:val="OHF Proposal Heading 1"/>
    <w:basedOn w:val="Normal"/>
    <w:qFormat/>
    <w:rsid w:val="006E47E7"/>
    <w:pPr>
      <w:tabs>
        <w:tab w:val="left" w:pos="720"/>
      </w:tabs>
      <w:spacing w:after="240"/>
    </w:pPr>
    <w:rPr>
      <w:rFonts w:ascii="Verdana" w:eastAsia="Calibri" w:hAnsi="Verdana"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BB"/>
    <w:pPr>
      <w:ind w:left="720"/>
    </w:pPr>
    <w:rPr>
      <w:rFonts w:ascii="Calibri" w:hAnsi="Calibri" w:cs="Times New Roman"/>
    </w:rPr>
  </w:style>
  <w:style w:type="paragraph" w:customStyle="1" w:styleId="Body">
    <w:name w:val="Body"/>
    <w:rsid w:val="00974999"/>
    <w:pPr>
      <w:spacing w:after="200" w:line="276" w:lineRule="auto"/>
    </w:pPr>
    <w:rPr>
      <w:rFonts w:ascii="Calibri" w:eastAsia="Calibri" w:hAnsi="Calibri" w:cs="Calibri"/>
      <w:color w:val="000000"/>
      <w:u w:color="000000"/>
    </w:rPr>
  </w:style>
  <w:style w:type="paragraph" w:styleId="EndnoteText">
    <w:name w:val="endnote text"/>
    <w:basedOn w:val="Normal"/>
    <w:link w:val="EndnoteTextChar"/>
    <w:uiPriority w:val="99"/>
    <w:semiHidden/>
    <w:unhideWhenUsed/>
    <w:rsid w:val="00535809"/>
    <w:rPr>
      <w:sz w:val="20"/>
      <w:szCs w:val="20"/>
    </w:rPr>
  </w:style>
  <w:style w:type="character" w:customStyle="1" w:styleId="EndnoteTextChar">
    <w:name w:val="Endnote Text Char"/>
    <w:basedOn w:val="DefaultParagraphFont"/>
    <w:link w:val="EndnoteText"/>
    <w:uiPriority w:val="99"/>
    <w:semiHidden/>
    <w:rsid w:val="00535809"/>
    <w:rPr>
      <w:sz w:val="20"/>
      <w:szCs w:val="20"/>
    </w:rPr>
  </w:style>
  <w:style w:type="character" w:styleId="EndnoteReference">
    <w:name w:val="endnote reference"/>
    <w:basedOn w:val="DefaultParagraphFont"/>
    <w:uiPriority w:val="99"/>
    <w:semiHidden/>
    <w:unhideWhenUsed/>
    <w:rsid w:val="00535809"/>
    <w:rPr>
      <w:vertAlign w:val="superscript"/>
    </w:rPr>
  </w:style>
  <w:style w:type="character" w:styleId="CommentReference">
    <w:name w:val="annotation reference"/>
    <w:basedOn w:val="DefaultParagraphFont"/>
    <w:uiPriority w:val="99"/>
    <w:semiHidden/>
    <w:unhideWhenUsed/>
    <w:rsid w:val="00DD7C83"/>
    <w:rPr>
      <w:sz w:val="16"/>
      <w:szCs w:val="16"/>
    </w:rPr>
  </w:style>
  <w:style w:type="paragraph" w:styleId="CommentText">
    <w:name w:val="annotation text"/>
    <w:basedOn w:val="Normal"/>
    <w:link w:val="CommentTextChar"/>
    <w:uiPriority w:val="99"/>
    <w:semiHidden/>
    <w:unhideWhenUsed/>
    <w:rsid w:val="00DD7C83"/>
    <w:rPr>
      <w:sz w:val="20"/>
      <w:szCs w:val="20"/>
    </w:rPr>
  </w:style>
  <w:style w:type="character" w:customStyle="1" w:styleId="CommentTextChar">
    <w:name w:val="Comment Text Char"/>
    <w:basedOn w:val="DefaultParagraphFont"/>
    <w:link w:val="CommentText"/>
    <w:uiPriority w:val="99"/>
    <w:semiHidden/>
    <w:rsid w:val="00DD7C83"/>
    <w:rPr>
      <w:sz w:val="20"/>
      <w:szCs w:val="20"/>
    </w:rPr>
  </w:style>
  <w:style w:type="paragraph" w:styleId="CommentSubject">
    <w:name w:val="annotation subject"/>
    <w:basedOn w:val="CommentText"/>
    <w:next w:val="CommentText"/>
    <w:link w:val="CommentSubjectChar"/>
    <w:uiPriority w:val="99"/>
    <w:semiHidden/>
    <w:unhideWhenUsed/>
    <w:rsid w:val="00DD7C83"/>
    <w:rPr>
      <w:b/>
      <w:bCs/>
    </w:rPr>
  </w:style>
  <w:style w:type="character" w:customStyle="1" w:styleId="CommentSubjectChar">
    <w:name w:val="Comment Subject Char"/>
    <w:basedOn w:val="CommentTextChar"/>
    <w:link w:val="CommentSubject"/>
    <w:uiPriority w:val="99"/>
    <w:semiHidden/>
    <w:rsid w:val="00DD7C83"/>
    <w:rPr>
      <w:b/>
      <w:bCs/>
      <w:sz w:val="20"/>
      <w:szCs w:val="20"/>
    </w:rPr>
  </w:style>
  <w:style w:type="paragraph" w:styleId="BalloonText">
    <w:name w:val="Balloon Text"/>
    <w:basedOn w:val="Normal"/>
    <w:link w:val="BalloonTextChar"/>
    <w:uiPriority w:val="99"/>
    <w:semiHidden/>
    <w:unhideWhenUsed/>
    <w:rsid w:val="00DD7C83"/>
    <w:rPr>
      <w:rFonts w:ascii="Tahoma" w:hAnsi="Tahoma" w:cs="Tahoma"/>
      <w:sz w:val="16"/>
      <w:szCs w:val="16"/>
    </w:rPr>
  </w:style>
  <w:style w:type="character" w:customStyle="1" w:styleId="BalloonTextChar">
    <w:name w:val="Balloon Text Char"/>
    <w:basedOn w:val="DefaultParagraphFont"/>
    <w:link w:val="BalloonText"/>
    <w:uiPriority w:val="99"/>
    <w:semiHidden/>
    <w:rsid w:val="00DD7C83"/>
    <w:rPr>
      <w:rFonts w:ascii="Tahoma" w:hAnsi="Tahoma" w:cs="Tahoma"/>
      <w:sz w:val="16"/>
      <w:szCs w:val="16"/>
    </w:rPr>
  </w:style>
  <w:style w:type="paragraph" w:styleId="FootnoteText">
    <w:name w:val="footnote text"/>
    <w:basedOn w:val="Normal"/>
    <w:link w:val="FootnoteTextChar"/>
    <w:uiPriority w:val="99"/>
    <w:semiHidden/>
    <w:unhideWhenUsed/>
    <w:rsid w:val="00853F5B"/>
    <w:rPr>
      <w:sz w:val="20"/>
      <w:szCs w:val="20"/>
    </w:rPr>
  </w:style>
  <w:style w:type="character" w:customStyle="1" w:styleId="FootnoteTextChar">
    <w:name w:val="Footnote Text Char"/>
    <w:basedOn w:val="DefaultParagraphFont"/>
    <w:link w:val="FootnoteText"/>
    <w:uiPriority w:val="99"/>
    <w:semiHidden/>
    <w:rsid w:val="00853F5B"/>
    <w:rPr>
      <w:sz w:val="20"/>
      <w:szCs w:val="20"/>
    </w:rPr>
  </w:style>
  <w:style w:type="character" w:styleId="FootnoteReference">
    <w:name w:val="footnote reference"/>
    <w:basedOn w:val="DefaultParagraphFont"/>
    <w:uiPriority w:val="99"/>
    <w:semiHidden/>
    <w:unhideWhenUsed/>
    <w:rsid w:val="00853F5B"/>
    <w:rPr>
      <w:vertAlign w:val="superscript"/>
    </w:rPr>
  </w:style>
  <w:style w:type="paragraph" w:customStyle="1" w:styleId="OHFProposalHeading1">
    <w:name w:val="OHF Proposal Heading 1"/>
    <w:basedOn w:val="Normal"/>
    <w:qFormat/>
    <w:rsid w:val="006E47E7"/>
    <w:pPr>
      <w:tabs>
        <w:tab w:val="left" w:pos="720"/>
      </w:tabs>
      <w:spacing w:after="240"/>
    </w:pPr>
    <w:rPr>
      <w:rFonts w:ascii="Verdana" w:eastAsia="Calibri" w:hAnsi="Verdana" w:cs="Times New Roman"/>
      <w:b/>
      <w:sz w:val="32"/>
      <w:szCs w:val="32"/>
    </w:rPr>
  </w:style>
</w:styles>
</file>

<file path=word/webSettings.xml><?xml version="1.0" encoding="utf-8"?>
<w:webSettings xmlns:r="http://schemas.openxmlformats.org/officeDocument/2006/relationships" xmlns:w="http://schemas.openxmlformats.org/wordprocessingml/2006/main">
  <w:divs>
    <w:div w:id="46729858">
      <w:bodyDiv w:val="1"/>
      <w:marLeft w:val="0"/>
      <w:marRight w:val="0"/>
      <w:marTop w:val="0"/>
      <w:marBottom w:val="0"/>
      <w:divBdr>
        <w:top w:val="none" w:sz="0" w:space="0" w:color="auto"/>
        <w:left w:val="none" w:sz="0" w:space="0" w:color="auto"/>
        <w:bottom w:val="none" w:sz="0" w:space="0" w:color="auto"/>
        <w:right w:val="none" w:sz="0" w:space="0" w:color="auto"/>
      </w:divBdr>
    </w:div>
    <w:div w:id="68236929">
      <w:bodyDiv w:val="1"/>
      <w:marLeft w:val="0"/>
      <w:marRight w:val="0"/>
      <w:marTop w:val="0"/>
      <w:marBottom w:val="0"/>
      <w:divBdr>
        <w:top w:val="none" w:sz="0" w:space="0" w:color="auto"/>
        <w:left w:val="none" w:sz="0" w:space="0" w:color="auto"/>
        <w:bottom w:val="none" w:sz="0" w:space="0" w:color="auto"/>
        <w:right w:val="none" w:sz="0" w:space="0" w:color="auto"/>
      </w:divBdr>
    </w:div>
    <w:div w:id="162819043">
      <w:bodyDiv w:val="1"/>
      <w:marLeft w:val="0"/>
      <w:marRight w:val="0"/>
      <w:marTop w:val="0"/>
      <w:marBottom w:val="0"/>
      <w:divBdr>
        <w:top w:val="none" w:sz="0" w:space="0" w:color="auto"/>
        <w:left w:val="none" w:sz="0" w:space="0" w:color="auto"/>
        <w:bottom w:val="none" w:sz="0" w:space="0" w:color="auto"/>
        <w:right w:val="none" w:sz="0" w:space="0" w:color="auto"/>
      </w:divBdr>
    </w:div>
    <w:div w:id="271520138">
      <w:bodyDiv w:val="1"/>
      <w:marLeft w:val="0"/>
      <w:marRight w:val="0"/>
      <w:marTop w:val="0"/>
      <w:marBottom w:val="0"/>
      <w:divBdr>
        <w:top w:val="none" w:sz="0" w:space="0" w:color="auto"/>
        <w:left w:val="none" w:sz="0" w:space="0" w:color="auto"/>
        <w:bottom w:val="none" w:sz="0" w:space="0" w:color="auto"/>
        <w:right w:val="none" w:sz="0" w:space="0" w:color="auto"/>
      </w:divBdr>
    </w:div>
    <w:div w:id="622344695">
      <w:bodyDiv w:val="1"/>
      <w:marLeft w:val="0"/>
      <w:marRight w:val="0"/>
      <w:marTop w:val="0"/>
      <w:marBottom w:val="0"/>
      <w:divBdr>
        <w:top w:val="none" w:sz="0" w:space="0" w:color="auto"/>
        <w:left w:val="none" w:sz="0" w:space="0" w:color="auto"/>
        <w:bottom w:val="none" w:sz="0" w:space="0" w:color="auto"/>
        <w:right w:val="none" w:sz="0" w:space="0" w:color="auto"/>
      </w:divBdr>
    </w:div>
    <w:div w:id="722026831">
      <w:bodyDiv w:val="1"/>
      <w:marLeft w:val="0"/>
      <w:marRight w:val="0"/>
      <w:marTop w:val="0"/>
      <w:marBottom w:val="0"/>
      <w:divBdr>
        <w:top w:val="none" w:sz="0" w:space="0" w:color="auto"/>
        <w:left w:val="none" w:sz="0" w:space="0" w:color="auto"/>
        <w:bottom w:val="none" w:sz="0" w:space="0" w:color="auto"/>
        <w:right w:val="none" w:sz="0" w:space="0" w:color="auto"/>
      </w:divBdr>
    </w:div>
    <w:div w:id="1155755945">
      <w:bodyDiv w:val="1"/>
      <w:marLeft w:val="0"/>
      <w:marRight w:val="0"/>
      <w:marTop w:val="0"/>
      <w:marBottom w:val="0"/>
      <w:divBdr>
        <w:top w:val="none" w:sz="0" w:space="0" w:color="auto"/>
        <w:left w:val="none" w:sz="0" w:space="0" w:color="auto"/>
        <w:bottom w:val="none" w:sz="0" w:space="0" w:color="auto"/>
        <w:right w:val="none" w:sz="0" w:space="0" w:color="auto"/>
      </w:divBdr>
    </w:div>
    <w:div w:id="15900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88A9-3373-4EEB-8F4A-83991751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c:creator>
  <cp:lastModifiedBy>Donna Stamschror</cp:lastModifiedBy>
  <cp:revision>2</cp:revision>
  <dcterms:created xsi:type="dcterms:W3CDTF">2015-11-03T16:04:00Z</dcterms:created>
  <dcterms:modified xsi:type="dcterms:W3CDTF">2015-11-03T16:04:00Z</dcterms:modified>
</cp:coreProperties>
</file>